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65"/>
        </w:tabs>
        <w:spacing w:line="360" w:lineRule="auto"/>
        <w:rPr>
          <w:rFonts w:ascii="黑体" w:hAnsi="黑体" w:eastAsia="黑体" w:cs="黑体"/>
          <w:bCs/>
          <w:color w:val="auto"/>
          <w:sz w:val="32"/>
        </w:rPr>
      </w:pPr>
      <w:r>
        <w:rPr>
          <w:rFonts w:hint="eastAsia" w:ascii="黑体" w:hAnsi="黑体" w:eastAsia="黑体" w:cs="黑体"/>
          <w:bCs/>
          <w:color w:val="auto"/>
          <w:sz w:val="32"/>
        </w:rPr>
        <w:t>附件</w:t>
      </w:r>
      <w:r>
        <w:rPr>
          <w:rFonts w:hint="eastAsia" w:ascii="黑体" w:hAnsi="黑体" w:eastAsia="黑体" w:cs="黑体"/>
          <w:bCs/>
          <w:color w:val="auto"/>
          <w:sz w:val="32"/>
          <w:lang w:eastAsia="zh-CN"/>
        </w:rPr>
        <w:t>一</w:t>
      </w:r>
    </w:p>
    <w:p>
      <w:pPr>
        <w:widowControl/>
        <w:tabs>
          <w:tab w:val="left" w:pos="1965"/>
        </w:tabs>
        <w:spacing w:line="360" w:lineRule="auto"/>
        <w:jc w:val="center"/>
        <w:rPr>
          <w:rFonts w:ascii="方正小标宋简体" w:hAnsi="方正小标宋简体" w:eastAsia="方正小标宋简体" w:cs="方正小标宋简体"/>
          <w:b/>
          <w:color w:val="auto"/>
          <w:sz w:val="44"/>
          <w:szCs w:val="44"/>
        </w:rPr>
      </w:pPr>
      <w:bookmarkStart w:id="0" w:name="_GoBack"/>
      <w:r>
        <w:rPr>
          <w:rFonts w:hint="eastAsia" w:ascii="方正小标宋简体" w:hAnsi="方正小标宋简体" w:eastAsia="方正小标宋简体" w:cs="方正小标宋简体"/>
          <w:b/>
          <w:color w:val="auto"/>
          <w:sz w:val="44"/>
          <w:szCs w:val="44"/>
        </w:rPr>
        <w:t>内蒙古自治区智能化优质工程奖评选办法</w:t>
      </w:r>
      <w:bookmarkEnd w:id="0"/>
    </w:p>
    <w:p>
      <w:pPr>
        <w:widowControl/>
        <w:tabs>
          <w:tab w:val="left" w:pos="1965"/>
        </w:tabs>
        <w:spacing w:line="360" w:lineRule="auto"/>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2021年修订版</w:t>
      </w:r>
      <w:r>
        <w:rPr>
          <w:rFonts w:hint="eastAsia" w:ascii="仿宋_GB2312" w:hAnsi="仿宋_GB2312" w:eastAsia="仿宋_GB2312" w:cs="仿宋_GB2312"/>
          <w:bCs/>
          <w:color w:val="auto"/>
          <w:sz w:val="32"/>
          <w:szCs w:val="32"/>
        </w:rPr>
        <w:t>）</w:t>
      </w:r>
    </w:p>
    <w:p>
      <w:pPr>
        <w:widowControl/>
        <w:tabs>
          <w:tab w:val="left" w:pos="1965"/>
        </w:tabs>
        <w:spacing w:line="360" w:lineRule="auto"/>
        <w:jc w:val="center"/>
        <w:rPr>
          <w:rFonts w:hint="eastAsia" w:ascii="仿宋_GB2312" w:hAnsi="仿宋_GB2312" w:eastAsia="仿宋_GB2312" w:cs="仿宋_GB2312"/>
          <w:b/>
          <w:color w:val="auto"/>
          <w:kern w:val="0"/>
          <w:sz w:val="32"/>
          <w:szCs w:val="32"/>
        </w:rPr>
      </w:pPr>
    </w:p>
    <w:p>
      <w:pPr>
        <w:widowControl/>
        <w:tabs>
          <w:tab w:val="left" w:pos="1965"/>
        </w:tabs>
        <w:spacing w:line="360" w:lineRule="auto"/>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第一章  总  则</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 w:eastAsia="仿宋_GB2312"/>
          <w:color w:val="auto"/>
          <w:sz w:val="32"/>
          <w:szCs w:val="32"/>
        </w:rPr>
        <w:t>为贯彻落实习近平新时代中国特色社会主义思想和自治区党委政府“质量强区”决策部署，坚持“百年大计、质量第一”的方针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规范</w:t>
      </w:r>
      <w:r>
        <w:rPr>
          <w:rFonts w:hint="eastAsia" w:ascii="仿宋_GB2312" w:hAnsi="仿宋" w:eastAsia="仿宋_GB2312"/>
          <w:color w:val="auto"/>
          <w:sz w:val="32"/>
          <w:szCs w:val="32"/>
          <w:lang w:val="en-US" w:eastAsia="zh-Hans"/>
        </w:rPr>
        <w:t>内蒙古自治区智能化</w:t>
      </w:r>
      <w:r>
        <w:rPr>
          <w:rFonts w:hint="eastAsia" w:ascii="仿宋_GB2312" w:hAnsi="仿宋" w:eastAsia="仿宋_GB2312"/>
          <w:color w:val="auto"/>
          <w:sz w:val="32"/>
          <w:szCs w:val="32"/>
        </w:rPr>
        <w:t>优质工程奖评选活动，特制定本办法。</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内蒙古自治区智能化优质工程由内蒙古自治区建筑业协会</w:t>
      </w:r>
      <w:r>
        <w:rPr>
          <w:rFonts w:hint="eastAsia" w:ascii="仿宋_GB2312" w:hAnsi="仿宋_GB2312" w:eastAsia="仿宋_GB2312" w:cs="仿宋_GB2312"/>
          <w:color w:val="auto"/>
          <w:sz w:val="32"/>
          <w:szCs w:val="32"/>
          <w:lang w:eastAsia="zh-CN"/>
        </w:rPr>
        <w:t>委托</w:t>
      </w:r>
      <w:r>
        <w:rPr>
          <w:rFonts w:hint="eastAsia" w:ascii="仿宋_GB2312" w:hAnsi="仿宋_GB2312" w:eastAsia="仿宋_GB2312" w:cs="仿宋_GB2312"/>
          <w:color w:val="auto"/>
          <w:sz w:val="32"/>
          <w:szCs w:val="32"/>
        </w:rPr>
        <w:t>内蒙古自治区建筑业协会</w:t>
      </w:r>
      <w:r>
        <w:rPr>
          <w:rFonts w:hint="eastAsia" w:ascii="仿宋_GB2312" w:hAnsi="仿宋_GB2312" w:eastAsia="仿宋_GB2312" w:cs="仿宋_GB2312"/>
          <w:color w:val="auto"/>
          <w:sz w:val="32"/>
          <w:szCs w:val="32"/>
          <w:lang w:eastAsia="zh-CN"/>
        </w:rPr>
        <w:t>绿色建造与智能化分会</w:t>
      </w:r>
      <w:r>
        <w:rPr>
          <w:rFonts w:hint="eastAsia" w:ascii="仿宋_GB2312" w:hAnsi="仿宋_GB2312" w:eastAsia="仿宋_GB2312" w:cs="仿宋_GB2312"/>
          <w:color w:val="auto"/>
          <w:sz w:val="32"/>
          <w:szCs w:val="32"/>
        </w:rPr>
        <w:t>（以下简称“我会”）</w:t>
      </w:r>
      <w:r>
        <w:rPr>
          <w:rFonts w:hint="eastAsia" w:ascii="仿宋_GB2312" w:hAnsi="仿宋_GB2312" w:eastAsia="仿宋_GB2312" w:cs="仿宋_GB2312"/>
          <w:color w:val="auto"/>
          <w:sz w:val="32"/>
          <w:szCs w:val="32"/>
          <w:lang w:eastAsia="zh-CN"/>
        </w:rPr>
        <w:t>具体</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lang w:eastAsia="zh-CN"/>
        </w:rPr>
        <w:t>评选</w:t>
      </w:r>
      <w:r>
        <w:rPr>
          <w:rFonts w:hint="eastAsia" w:ascii="仿宋_GB2312" w:hAnsi="仿宋_GB2312" w:eastAsia="仿宋_GB2312" w:cs="仿宋_GB2312"/>
          <w:color w:val="auto"/>
          <w:sz w:val="32"/>
          <w:szCs w:val="32"/>
        </w:rPr>
        <w:t>一次。</w:t>
      </w:r>
    </w:p>
    <w:p>
      <w:pPr>
        <w:spacing w:line="36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第三条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内蒙古自治区智能化优质工程评选本着“设计合理、功能完善、施工规范、节能高效、安全便利”的原则。</w:t>
      </w:r>
      <w:r>
        <w:rPr>
          <w:rFonts w:hint="eastAsia" w:ascii="仿宋_GB2312" w:hAnsi="仿宋_GB2312" w:eastAsia="仿宋_GB2312" w:cs="仿宋_GB2312"/>
          <w:color w:val="auto"/>
          <w:kern w:val="0"/>
          <w:sz w:val="32"/>
          <w:szCs w:val="32"/>
        </w:rPr>
        <w:t>评选工作以智能化系统施工工艺及技术创新、系统运行良好、取得社会经济效益、节能策略为主。</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评选依据：《智能建筑设计标准》（GB/T50314—2015）</w:t>
      </w:r>
      <w:r>
        <w:rPr>
          <w:rFonts w:hint="eastAsia" w:ascii="仿宋_GB2312" w:hAnsi="仿宋_GB2312" w:eastAsia="仿宋_GB2312" w:cs="仿宋_GB2312"/>
          <w:color w:val="auto"/>
          <w:sz w:val="32"/>
          <w:szCs w:val="32"/>
          <w:lang w:eastAsia="zh-CN"/>
        </w:rPr>
        <w:t>、《智能建筑工程质量验收规范》（GB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50339-2016）</w:t>
      </w:r>
      <w:r>
        <w:rPr>
          <w:rFonts w:hint="eastAsia" w:ascii="仿宋_GB2312" w:hAnsi="仿宋_GB2312" w:eastAsia="仿宋_GB2312" w:cs="仿宋_GB2312"/>
          <w:color w:val="auto"/>
          <w:sz w:val="32"/>
          <w:szCs w:val="32"/>
        </w:rPr>
        <w:t>、《智能建筑工程质量验收规范》（GB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50339-2013）</w:t>
      </w:r>
      <w:r>
        <w:rPr>
          <w:rFonts w:hint="eastAsia" w:ascii="仿宋_GB2312" w:hAnsi="仿宋_GB2312" w:eastAsia="仿宋_GB2312" w:cs="仿宋_GB2312"/>
          <w:color w:val="auto"/>
          <w:sz w:val="32"/>
          <w:szCs w:val="32"/>
          <w:lang w:eastAsia="zh-CN"/>
        </w:rPr>
        <w:t>、《综合布线系统工程设计规范》（GB 50311-2016）、《综合布线系统工程验收规范》（GBT 50312-2016）、</w:t>
      </w:r>
      <w:r>
        <w:rPr>
          <w:rFonts w:hint="eastAsia" w:ascii="仿宋_GB2312" w:hAnsi="仿宋_GB2312" w:eastAsia="仿宋_GB2312" w:cs="仿宋_GB2312"/>
          <w:color w:val="auto"/>
          <w:sz w:val="32"/>
          <w:szCs w:val="32"/>
        </w:rPr>
        <w:t>《安全防范工程技术标准》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50348-2018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《视频安防监控系统工程设计规范》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GB 50395-2007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等国家标准</w:t>
      </w:r>
      <w:r>
        <w:rPr>
          <w:rFonts w:hint="eastAsia" w:ascii="仿宋_GB2312" w:hAnsi="仿宋_GB2312" w:eastAsia="仿宋_GB2312" w:cs="仿宋_GB2312"/>
          <w:color w:val="auto"/>
          <w:sz w:val="32"/>
          <w:szCs w:val="32"/>
          <w:lang w:eastAsia="zh-CN"/>
        </w:rPr>
        <w:t>及地方相关规范</w:t>
      </w:r>
      <w:r>
        <w:rPr>
          <w:rFonts w:hint="eastAsia" w:ascii="仿宋_GB2312" w:hAnsi="仿宋_GB2312" w:eastAsia="仿宋_GB2312" w:cs="仿宋_GB2312"/>
          <w:color w:val="auto"/>
          <w:sz w:val="32"/>
          <w:szCs w:val="32"/>
        </w:rPr>
        <w:t>。</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凡我会会员单位，具有</w:t>
      </w:r>
      <w:r>
        <w:rPr>
          <w:rFonts w:hint="eastAsia" w:ascii="仿宋_GB2312" w:hAnsi="仿宋_GB2312" w:eastAsia="仿宋_GB2312" w:cs="仿宋_GB2312"/>
          <w:color w:val="auto"/>
          <w:sz w:val="32"/>
          <w:szCs w:val="32"/>
          <w:lang w:val="en-US" w:eastAsia="zh-Hans"/>
        </w:rPr>
        <w:t>建筑机电工程专业承包（</w:t>
      </w:r>
      <w:r>
        <w:rPr>
          <w:rFonts w:hint="eastAsia" w:ascii="仿宋_GB2312" w:hAnsi="仿宋_GB2312" w:eastAsia="仿宋_GB2312" w:cs="仿宋_GB2312"/>
          <w:color w:val="auto"/>
          <w:sz w:val="32"/>
          <w:szCs w:val="32"/>
          <w:lang w:eastAsia="zh-Hans"/>
        </w:rPr>
        <w:t>电子与智能化工程专业承包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建筑机电安装工程专业承包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城市及道路照明工程专业承包</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rPr>
        <w:t>及通信施工等相关资质的单位均可单独申报。</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评选工作坚持科学、公开、公平、公正的原则，评选结果将在内蒙古自治区建筑业协会</w:t>
      </w:r>
      <w:r>
        <w:rPr>
          <w:rFonts w:hint="eastAsia" w:ascii="仿宋_GB2312" w:hAnsi="仿宋_GB2312" w:eastAsia="仿宋_GB2312" w:cs="仿宋_GB2312"/>
          <w:color w:val="auto"/>
          <w:sz w:val="32"/>
          <w:szCs w:val="32"/>
          <w:lang w:eastAsia="zh-CN"/>
        </w:rPr>
        <w:t>媒体平台</w:t>
      </w:r>
      <w:r>
        <w:rPr>
          <w:rFonts w:hint="eastAsia" w:ascii="仿宋_GB2312" w:hAnsi="仿宋_GB2312" w:eastAsia="仿宋_GB2312" w:cs="仿宋_GB2312"/>
          <w:color w:val="auto"/>
          <w:sz w:val="32"/>
          <w:szCs w:val="32"/>
        </w:rPr>
        <w:t>公布。</w:t>
      </w:r>
    </w:p>
    <w:p>
      <w:pPr>
        <w:spacing w:line="360" w:lineRule="auto"/>
        <w:ind w:firstLine="560"/>
        <w:rPr>
          <w:rFonts w:hint="eastAsia" w:ascii="仿宋_GB2312" w:hAnsi="仿宋_GB2312" w:eastAsia="仿宋_GB2312" w:cs="仿宋_GB2312"/>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第二章  评选范围</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内蒙古自治区智能化优质工程评选工程类型包括：新建、改建、扩建公共建筑和居住建筑类</w:t>
      </w:r>
      <w:r>
        <w:rPr>
          <w:rFonts w:hint="eastAsia" w:ascii="仿宋_GB2312" w:hAnsi="仿宋_GB2312" w:eastAsia="仿宋_GB2312" w:cs="仿宋_GB2312"/>
          <w:color w:val="auto"/>
          <w:sz w:val="32"/>
          <w:szCs w:val="32"/>
          <w:lang w:val="en-US" w:eastAsia="zh-Hans"/>
        </w:rPr>
        <w:t>工程及相关智能化工程</w:t>
      </w:r>
      <w:r>
        <w:rPr>
          <w:rFonts w:hint="eastAsia" w:ascii="仿宋_GB2312" w:hAnsi="仿宋_GB2312" w:eastAsia="仿宋_GB2312" w:cs="仿宋_GB2312"/>
          <w:color w:val="auto"/>
          <w:sz w:val="32"/>
          <w:szCs w:val="32"/>
        </w:rPr>
        <w:t>。</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工程规模：</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（一）公共建筑类智能化工程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Hans"/>
        </w:rPr>
        <w:t>绿色建造、</w:t>
      </w:r>
      <w:r>
        <w:rPr>
          <w:rFonts w:hint="eastAsia" w:ascii="仿宋_GB2312" w:hAnsi="仿宋_GB2312" w:eastAsia="仿宋_GB2312" w:cs="仿宋_GB2312"/>
          <w:color w:val="auto"/>
          <w:sz w:val="32"/>
          <w:szCs w:val="32"/>
        </w:rPr>
        <w:t>保护自然资源和生态环境、节能减排以及智能化系统建设等方面有技术创新优势，其综合技术指标优于</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内同类工程，且工程造价在</w:t>
      </w:r>
      <w:r>
        <w:rPr>
          <w:rFonts w:hint="default" w:ascii="仿宋_GB2312" w:hAnsi="仿宋_GB2312" w:eastAsia="仿宋_GB2312" w:cs="仿宋_GB2312"/>
          <w:color w:val="auto"/>
          <w:sz w:val="32"/>
          <w:szCs w:val="32"/>
        </w:rPr>
        <w:t>500</w:t>
      </w:r>
      <w:r>
        <w:rPr>
          <w:rFonts w:hint="eastAsia" w:ascii="仿宋_GB2312" w:hAnsi="仿宋_GB2312" w:eastAsia="仿宋_GB2312" w:cs="仿宋_GB2312"/>
          <w:color w:val="auto"/>
          <w:sz w:val="32"/>
          <w:szCs w:val="32"/>
        </w:rPr>
        <w:t>万（含）元以上，</w:t>
      </w:r>
      <w:r>
        <w:rPr>
          <w:rFonts w:hint="eastAsia" w:ascii="仿宋_GB2312" w:hAnsi="仿宋_GB2312" w:eastAsia="仿宋_GB2312" w:cs="仿宋_GB2312"/>
          <w:color w:val="auto"/>
          <w:sz w:val="32"/>
          <w:szCs w:val="32"/>
          <w:lang w:val="en-US" w:eastAsia="zh-Hans"/>
        </w:rPr>
        <w:t>具备</w:t>
      </w:r>
      <w:r>
        <w:rPr>
          <w:rFonts w:hint="eastAsia" w:ascii="仿宋_GB2312" w:hAnsi="仿宋_GB2312" w:eastAsia="仿宋_GB2312" w:cs="仿宋_GB2312"/>
          <w:color w:val="auto"/>
          <w:sz w:val="32"/>
          <w:szCs w:val="32"/>
        </w:rPr>
        <w:t>以下智能化</w:t>
      </w:r>
      <w:r>
        <w:rPr>
          <w:rFonts w:hint="eastAsia" w:ascii="仿宋_GB2312" w:hAnsi="仿宋_GB2312" w:eastAsia="仿宋_GB2312" w:cs="仿宋_GB2312"/>
          <w:color w:val="auto"/>
          <w:sz w:val="32"/>
          <w:szCs w:val="32"/>
          <w:lang w:val="en-US" w:eastAsia="zh-Hans"/>
        </w:rPr>
        <w:t>分</w:t>
      </w:r>
      <w:r>
        <w:rPr>
          <w:rFonts w:hint="eastAsia" w:ascii="仿宋_GB2312" w:hAnsi="仿宋_GB2312" w:eastAsia="仿宋_GB2312" w:cs="仿宋_GB2312"/>
          <w:color w:val="auto"/>
          <w:sz w:val="32"/>
          <w:szCs w:val="32"/>
        </w:rPr>
        <w:t>系统：</w:t>
      </w:r>
      <w:r>
        <w:rPr>
          <w:rFonts w:hint="eastAsia" w:ascii="仿宋_GB2312" w:hAnsi="仿宋_GB2312" w:eastAsia="仿宋_GB2312" w:cs="仿宋_GB2312"/>
          <w:color w:val="auto"/>
          <w:sz w:val="32"/>
          <w:szCs w:val="32"/>
          <w:lang w:val="en-US" w:eastAsia="zh-Hans"/>
        </w:rPr>
        <w:t>智能</w:t>
      </w:r>
      <w:r>
        <w:rPr>
          <w:rFonts w:hint="eastAsia" w:ascii="仿宋_GB2312" w:hAnsi="仿宋_GB2312" w:eastAsia="仿宋_GB2312" w:cs="仿宋_GB2312"/>
          <w:color w:val="auto"/>
          <w:sz w:val="32"/>
          <w:szCs w:val="32"/>
        </w:rPr>
        <w:t>管网</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综合布线系统；计算机网络系统；电话交换系统；建筑设备监控系统；安全防范系统；公共广播系统；智能照明系统；智能卡应用系统；防雷接地系统；有线电视及卫星电视接收系统；能源</w:t>
      </w:r>
      <w:r>
        <w:rPr>
          <w:rFonts w:hint="eastAsia" w:ascii="仿宋_GB2312" w:hAnsi="仿宋_GB2312" w:eastAsia="仿宋_GB2312" w:cs="仿宋_GB2312"/>
          <w:color w:val="auto"/>
          <w:sz w:val="32"/>
          <w:szCs w:val="32"/>
          <w:lang w:val="en-US" w:eastAsia="zh-Hans"/>
        </w:rPr>
        <w:t>计量</w:t>
      </w:r>
      <w:r>
        <w:rPr>
          <w:rFonts w:hint="eastAsia" w:ascii="仿宋_GB2312" w:hAnsi="仿宋_GB2312" w:eastAsia="仿宋_GB2312" w:cs="仿宋_GB2312"/>
          <w:color w:val="auto"/>
          <w:sz w:val="32"/>
          <w:szCs w:val="32"/>
        </w:rPr>
        <w:t>测量与管理系统；智能化集成系统；物业运营管理系统；机房工程、建筑设备监控系统；信息导引及发布系统；会议系统；室内移动通讯覆盖系统</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Hans"/>
        </w:rPr>
        <w:t>舞台灯光音响系统；智慧平台建设</w:t>
      </w:r>
      <w:r>
        <w:rPr>
          <w:rFonts w:hint="eastAsia" w:ascii="仿宋_GB2312" w:hAnsi="仿宋_GB2312" w:eastAsia="仿宋_GB2312" w:cs="仿宋_GB2312"/>
          <w:color w:val="auto"/>
          <w:sz w:val="32"/>
          <w:szCs w:val="32"/>
        </w:rPr>
        <w:t>等。</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（二）住宅建筑（住宅小区含高层型住宅小区和别墅型住宅小区），在</w:t>
      </w:r>
      <w:r>
        <w:rPr>
          <w:rFonts w:hint="eastAsia" w:ascii="仿宋_GB2312" w:hAnsi="仿宋_GB2312" w:eastAsia="仿宋_GB2312" w:cs="仿宋_GB2312"/>
          <w:color w:val="auto"/>
          <w:sz w:val="32"/>
          <w:szCs w:val="32"/>
          <w:lang w:val="en-US" w:eastAsia="zh-Hans"/>
        </w:rPr>
        <w:t>绿色建造、</w:t>
      </w:r>
      <w:r>
        <w:rPr>
          <w:rFonts w:hint="eastAsia" w:ascii="仿宋_GB2312" w:hAnsi="仿宋_GB2312" w:eastAsia="仿宋_GB2312" w:cs="仿宋_GB2312"/>
          <w:color w:val="auto"/>
          <w:sz w:val="32"/>
          <w:szCs w:val="32"/>
        </w:rPr>
        <w:t>保护自然资源和生态环境、节能减排以及智能化系统建设等方面有技术创新优势，其综合技术指标优于</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内同类工程，智能化工程造价在</w:t>
      </w:r>
      <w:r>
        <w:rPr>
          <w:rFonts w:hint="default" w:ascii="仿宋_GB2312" w:hAnsi="仿宋_GB2312" w:eastAsia="仿宋_GB2312" w:cs="仿宋_GB2312"/>
          <w:color w:val="auto"/>
          <w:sz w:val="32"/>
          <w:szCs w:val="32"/>
        </w:rPr>
        <w:t>200</w:t>
      </w:r>
      <w:r>
        <w:rPr>
          <w:rFonts w:hint="eastAsia" w:ascii="仿宋_GB2312" w:hAnsi="仿宋_GB2312" w:eastAsia="仿宋_GB2312" w:cs="仿宋_GB2312"/>
          <w:color w:val="auto"/>
          <w:sz w:val="32"/>
          <w:szCs w:val="32"/>
        </w:rPr>
        <w:t>（含）万元以上，</w:t>
      </w:r>
      <w:r>
        <w:rPr>
          <w:rFonts w:hint="eastAsia" w:ascii="仿宋_GB2312" w:hAnsi="仿宋_GB2312" w:eastAsia="仿宋_GB2312" w:cs="仿宋_GB2312"/>
          <w:color w:val="auto"/>
          <w:sz w:val="32"/>
          <w:szCs w:val="32"/>
          <w:lang w:val="en-US" w:eastAsia="zh-Hans"/>
        </w:rPr>
        <w:t>具备</w:t>
      </w:r>
      <w:r>
        <w:rPr>
          <w:rFonts w:hint="eastAsia" w:ascii="仿宋_GB2312" w:hAnsi="仿宋_GB2312" w:eastAsia="仿宋_GB2312" w:cs="仿宋_GB2312"/>
          <w:color w:val="auto"/>
          <w:sz w:val="32"/>
          <w:szCs w:val="32"/>
        </w:rPr>
        <w:t>以下智能化</w:t>
      </w:r>
      <w:r>
        <w:rPr>
          <w:rFonts w:hint="eastAsia" w:ascii="仿宋_GB2312" w:hAnsi="仿宋_GB2312" w:eastAsia="仿宋_GB2312" w:cs="仿宋_GB2312"/>
          <w:color w:val="auto"/>
          <w:sz w:val="32"/>
          <w:szCs w:val="32"/>
          <w:lang w:val="en-US" w:eastAsia="zh-Hans"/>
        </w:rPr>
        <w:t>分</w:t>
      </w:r>
      <w:r>
        <w:rPr>
          <w:rFonts w:hint="eastAsia" w:ascii="仿宋_GB2312" w:hAnsi="仿宋_GB2312" w:eastAsia="仿宋_GB2312" w:cs="仿宋_GB2312"/>
          <w:color w:val="auto"/>
          <w:sz w:val="32"/>
          <w:szCs w:val="32"/>
        </w:rPr>
        <w:t>系统：通信管网、综合布线系统；计算机网络系统（含电话交换系统）；安全防范系统；公共广播系统；能源</w:t>
      </w:r>
      <w:r>
        <w:rPr>
          <w:rFonts w:hint="eastAsia" w:ascii="仿宋_GB2312" w:hAnsi="仿宋_GB2312" w:eastAsia="仿宋_GB2312" w:cs="仿宋_GB2312"/>
          <w:color w:val="auto"/>
          <w:sz w:val="32"/>
          <w:szCs w:val="32"/>
          <w:lang w:val="en-US" w:eastAsia="zh-Hans"/>
        </w:rPr>
        <w:t>计量</w:t>
      </w:r>
      <w:r>
        <w:rPr>
          <w:rFonts w:hint="eastAsia" w:ascii="仿宋_GB2312" w:hAnsi="仿宋_GB2312" w:eastAsia="仿宋_GB2312" w:cs="仿宋_GB2312"/>
          <w:color w:val="auto"/>
          <w:sz w:val="32"/>
          <w:szCs w:val="32"/>
        </w:rPr>
        <w:t>测量与管理系统；物业运营管理系统；机房工程、建筑设备监控系统；可视对讲系统；智能家居系统；信息导引及发布系统等。</w:t>
      </w:r>
    </w:p>
    <w:p>
      <w:pPr>
        <w:spacing w:line="360" w:lineRule="auto"/>
        <w:ind w:firstLine="56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（三）其他类：</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Hans"/>
        </w:rPr>
        <w:t>绿色建造、</w:t>
      </w:r>
      <w:r>
        <w:rPr>
          <w:rFonts w:hint="eastAsia" w:ascii="仿宋_GB2312" w:hAnsi="仿宋_GB2312" w:eastAsia="仿宋_GB2312" w:cs="仿宋_GB2312"/>
          <w:color w:val="auto"/>
          <w:sz w:val="32"/>
          <w:szCs w:val="32"/>
        </w:rPr>
        <w:t>保护自然资源和生态环境、节能减排以及智能化系统建设等方面有技术创新优势，其综合技术指标优于</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内同类工程，智能化工程造价在</w:t>
      </w:r>
      <w:r>
        <w:rPr>
          <w:rFonts w:hint="default" w:ascii="仿宋_GB2312" w:hAnsi="仿宋_GB2312" w:eastAsia="仿宋_GB2312" w:cs="仿宋_GB2312"/>
          <w:color w:val="auto"/>
          <w:sz w:val="32"/>
          <w:szCs w:val="32"/>
        </w:rPr>
        <w:t>200</w:t>
      </w:r>
      <w:r>
        <w:rPr>
          <w:rFonts w:hint="eastAsia" w:ascii="仿宋_GB2312" w:hAnsi="仿宋_GB2312" w:eastAsia="仿宋_GB2312" w:cs="仿宋_GB2312"/>
          <w:color w:val="auto"/>
          <w:sz w:val="32"/>
          <w:szCs w:val="32"/>
        </w:rPr>
        <w:t>（含）万元以上，</w:t>
      </w:r>
      <w:r>
        <w:rPr>
          <w:rFonts w:hint="eastAsia" w:ascii="仿宋_GB2312" w:hAnsi="仿宋_GB2312" w:eastAsia="仿宋_GB2312" w:cs="仿宋_GB2312"/>
          <w:color w:val="auto"/>
          <w:sz w:val="32"/>
          <w:szCs w:val="32"/>
          <w:lang w:val="en-US" w:eastAsia="zh-Hans"/>
        </w:rPr>
        <w:t>具备</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智能化</w:t>
      </w:r>
      <w:r>
        <w:rPr>
          <w:rFonts w:hint="eastAsia" w:ascii="仿宋_GB2312" w:hAnsi="仿宋_GB2312" w:eastAsia="仿宋_GB2312" w:cs="仿宋_GB2312"/>
          <w:color w:val="auto"/>
          <w:sz w:val="32"/>
          <w:szCs w:val="32"/>
          <w:lang w:val="en-US" w:eastAsia="zh-Hans"/>
        </w:rPr>
        <w:t>分</w:t>
      </w:r>
      <w:r>
        <w:rPr>
          <w:rFonts w:hint="eastAsia" w:ascii="仿宋_GB2312" w:hAnsi="仿宋_GB2312" w:eastAsia="仿宋_GB2312" w:cs="仿宋_GB2312"/>
          <w:color w:val="auto"/>
          <w:sz w:val="32"/>
          <w:szCs w:val="32"/>
        </w:rPr>
        <w:t>系统。</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第九条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不列入评选范围的工程：</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（一）发生较大质量、安全事故的工程；</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（二）保密工程；</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（三）有拖欠工程款和农民工工资的工程；</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（四）存在用户（业主）投诉且经查实的工程。</w:t>
      </w: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第三章  申报条件</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申报内蒙古自治区智能化优质工程，应具备以下条件：</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（一）申报单位应具有</w:t>
      </w:r>
      <w:r>
        <w:rPr>
          <w:rFonts w:hint="eastAsia" w:ascii="仿宋_GB2312" w:hAnsi="仿宋_GB2312" w:eastAsia="仿宋_GB2312" w:cs="仿宋_GB2312"/>
          <w:color w:val="auto"/>
          <w:sz w:val="32"/>
          <w:szCs w:val="32"/>
          <w:lang w:val="en-US" w:eastAsia="zh-Hans"/>
        </w:rPr>
        <w:t>建筑机电工程专业承包（</w:t>
      </w:r>
      <w:r>
        <w:rPr>
          <w:rFonts w:hint="eastAsia" w:ascii="仿宋_GB2312" w:hAnsi="仿宋_GB2312" w:eastAsia="仿宋_GB2312" w:cs="仿宋_GB2312"/>
          <w:color w:val="auto"/>
          <w:sz w:val="32"/>
          <w:szCs w:val="32"/>
          <w:lang w:eastAsia="zh-Hans"/>
        </w:rPr>
        <w:t>电子与智能化工程专业承包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建筑机电安装工程专业承包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城市及道路照明工程专业承包</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rPr>
        <w:t xml:space="preserve">及通信施工等相关资质和安全生产许可证书。  </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（二）智能化工程施工符合国家和地方相关智能建筑设计、施工标准及规范的要求，工程质量达到国家和地方相关验收技术标准和验收规范的要求。</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根据工程设计文件和合同技术文件，已完成系统的全部设备安装和调试工作；竣工验收工作已经完成，工程质量达到合格，已经办理工程竣工验收备案手续（如新建工程按整体工程竣工验收备案手续为准）。</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（四）建筑智能化系统竣工验收后，投入使用并连续运行三个月以上，没有发生质量问题或隐患，无质量投诉，有用户意见。</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（五）申报项目竣工验收的时间要求在三年以内，历年已参评项目不得重复申报。</w:t>
      </w:r>
    </w:p>
    <w:p>
      <w:pPr>
        <w:numPr>
          <w:ilvl w:val="0"/>
          <w:numId w:val="0"/>
        </w:num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申报工作可由工程的施工单位单独申报，也可联合申报，但每项工程只能由一个主要单位申报，</w:t>
      </w:r>
      <w:r>
        <w:rPr>
          <w:rFonts w:hint="eastAsia" w:ascii="仿宋_GB2312" w:hAnsi="仿宋_GB2312" w:eastAsia="仿宋_GB2312" w:cs="仿宋_GB2312"/>
          <w:color w:val="auto"/>
          <w:sz w:val="32"/>
          <w:szCs w:val="32"/>
          <w:lang w:eastAsia="zh-CN"/>
        </w:rPr>
        <w:t>参与工程建设</w:t>
      </w:r>
      <w:r>
        <w:rPr>
          <w:rFonts w:hint="eastAsia" w:ascii="仿宋_GB2312" w:hAnsi="仿宋_GB2312" w:eastAsia="仿宋_GB2312" w:cs="仿宋_GB2312"/>
          <w:color w:val="auto"/>
          <w:sz w:val="32"/>
          <w:szCs w:val="32"/>
          <w:lang w:val="en-US" w:eastAsia="zh-CN"/>
        </w:rPr>
        <w:t>的建设、设计、监理单位可</w:t>
      </w:r>
      <w:r>
        <w:rPr>
          <w:rFonts w:hint="eastAsia" w:ascii="仿宋_GB2312" w:hAnsi="仿宋_GB2312" w:eastAsia="仿宋_GB2312" w:cs="仿宋_GB2312"/>
          <w:color w:val="auto"/>
          <w:sz w:val="32"/>
          <w:szCs w:val="32"/>
          <w:lang w:val="en-US" w:eastAsia="zh-Hans"/>
        </w:rPr>
        <w:t>作为参建单位</w:t>
      </w:r>
      <w:r>
        <w:rPr>
          <w:rFonts w:hint="eastAsia" w:ascii="仿宋_GB2312" w:hAnsi="仿宋_GB2312" w:eastAsia="仿宋_GB2312" w:cs="仿宋_GB2312"/>
          <w:color w:val="auto"/>
          <w:sz w:val="32"/>
          <w:szCs w:val="32"/>
          <w:lang w:val="en-US" w:eastAsia="zh-CN"/>
        </w:rPr>
        <w:t>与主申报单位</w:t>
      </w:r>
      <w:r>
        <w:rPr>
          <w:rFonts w:hint="eastAsia" w:ascii="仿宋_GB2312" w:hAnsi="仿宋_GB2312" w:eastAsia="仿宋_GB2312" w:cs="仿宋_GB2312"/>
          <w:color w:val="auto"/>
          <w:sz w:val="32"/>
          <w:szCs w:val="32"/>
          <w:lang w:val="en-US" w:eastAsia="zh-Hans"/>
        </w:rPr>
        <w:t>联合申报</w:t>
      </w:r>
      <w:r>
        <w:rPr>
          <w:rFonts w:hint="eastAsia" w:ascii="仿宋_GB2312" w:hAnsi="仿宋_GB2312" w:eastAsia="仿宋_GB2312" w:cs="仿宋_GB2312"/>
          <w:color w:val="auto"/>
          <w:sz w:val="32"/>
          <w:szCs w:val="32"/>
          <w:lang w:val="en-US" w:eastAsia="zh-CN"/>
        </w:rPr>
        <w:t>，并单独提交含</w:t>
      </w:r>
      <w:r>
        <w:rPr>
          <w:rFonts w:hint="eastAsia" w:ascii="仿宋_GB2312" w:hAnsi="仿宋_GB2312" w:eastAsia="仿宋_GB2312" w:cs="仿宋_GB2312"/>
          <w:color w:val="auto"/>
          <w:sz w:val="32"/>
          <w:szCs w:val="32"/>
          <w:lang w:eastAsia="zh-CN"/>
        </w:rPr>
        <w:t>承担的工作内容和工程相关创优经验介绍（</w:t>
      </w:r>
      <w:r>
        <w:rPr>
          <w:rFonts w:hint="eastAsia" w:ascii="仿宋_GB2312" w:hAnsi="仿宋_GB2312" w:eastAsia="仿宋_GB2312" w:cs="仿宋_GB2312"/>
          <w:color w:val="auto"/>
          <w:sz w:val="32"/>
          <w:szCs w:val="32"/>
          <w:lang w:val="en-US" w:eastAsia="zh-CN"/>
        </w:rPr>
        <w:t>2000字左右</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申报表、营业执照、企业资质证书、工程有关合同复印件、文件等证明材料</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联合申报的单位须具备以下条件：</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（一）与建设单位或</w:t>
      </w:r>
      <w:r>
        <w:rPr>
          <w:rFonts w:hint="eastAsia" w:ascii="仿宋_GB2312" w:hAnsi="仿宋_GB2312" w:eastAsia="仿宋_GB2312" w:cs="仿宋_GB2312"/>
          <w:color w:val="auto"/>
          <w:sz w:val="32"/>
          <w:szCs w:val="32"/>
          <w:lang w:eastAsia="zh-CN"/>
        </w:rPr>
        <w:t>施工单位</w:t>
      </w:r>
      <w:r>
        <w:rPr>
          <w:rFonts w:hint="eastAsia" w:ascii="仿宋_GB2312" w:hAnsi="仿宋_GB2312" w:eastAsia="仿宋_GB2312" w:cs="仿宋_GB2312"/>
          <w:color w:val="auto"/>
          <w:sz w:val="32"/>
          <w:szCs w:val="32"/>
        </w:rPr>
        <w:t>签订合同；</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Hans"/>
        </w:rPr>
        <w:t>二</w:t>
      </w:r>
      <w:r>
        <w:rPr>
          <w:rFonts w:hint="eastAsia" w:ascii="仿宋_GB2312" w:hAnsi="仿宋_GB2312" w:eastAsia="仿宋_GB2312" w:cs="仿宋_GB2312"/>
          <w:color w:val="auto"/>
          <w:sz w:val="32"/>
          <w:szCs w:val="32"/>
        </w:rPr>
        <w:t>）完成的工程的质量全部达到合格。</w:t>
      </w:r>
    </w:p>
    <w:p>
      <w:pPr>
        <w:spacing w:line="360" w:lineRule="auto"/>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第十二条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近两年内发生过重大质量事故，受到建设行政主管部门通报批评或资质降级处罚的单位，没有申报资格。</w:t>
      </w:r>
    </w:p>
    <w:p>
      <w:pPr>
        <w:spacing w:line="360" w:lineRule="auto"/>
        <w:jc w:val="center"/>
        <w:rPr>
          <w:rFonts w:hint="eastAsia" w:ascii="仿宋_GB2312" w:hAnsi="仿宋_GB2312" w:eastAsia="仿宋_GB2312" w:cs="仿宋_GB2312"/>
          <w:b/>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第四章  申报程序和申报材料</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第十三条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 xml:space="preserve">申报程序： </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（一）申报单位根据评选范围和申报条件，</w:t>
      </w:r>
      <w:r>
        <w:rPr>
          <w:rFonts w:hint="eastAsia" w:ascii="仿宋_GB2312" w:hAnsi="仿宋_GB2312" w:eastAsia="仿宋_GB2312" w:cs="仿宋_GB2312"/>
          <w:i w:val="0"/>
          <w:caps w:val="0"/>
          <w:color w:val="auto"/>
          <w:spacing w:val="0"/>
          <w:sz w:val="32"/>
          <w:szCs w:val="32"/>
          <w:shd w:val="clear"/>
        </w:rPr>
        <w:t>点击“快捷服务”栏中的“争先创优”按钮，进入申报系统，完成注册后登录进入系统点击争先创优—创优申报—选择“内蒙古自治区</w:t>
      </w:r>
      <w:r>
        <w:rPr>
          <w:rFonts w:hint="eastAsia" w:ascii="仿宋_GB2312" w:hAnsi="仿宋_GB2312" w:eastAsia="仿宋_GB2312" w:cs="仿宋_GB2312"/>
          <w:i w:val="0"/>
          <w:caps w:val="0"/>
          <w:color w:val="auto"/>
          <w:spacing w:val="0"/>
          <w:sz w:val="32"/>
          <w:szCs w:val="32"/>
          <w:shd w:val="clear"/>
          <w:lang w:eastAsia="zh-CN"/>
        </w:rPr>
        <w:t>智能化优质工程</w:t>
      </w:r>
      <w:r>
        <w:rPr>
          <w:rFonts w:hint="eastAsia" w:ascii="仿宋_GB2312" w:hAnsi="仿宋_GB2312" w:eastAsia="仿宋_GB2312" w:cs="仿宋_GB2312"/>
          <w:i w:val="0"/>
          <w:caps w:val="0"/>
          <w:color w:val="auto"/>
          <w:spacing w:val="0"/>
          <w:sz w:val="32"/>
          <w:szCs w:val="32"/>
          <w:shd w:val="clear"/>
        </w:rPr>
        <w:t>”查看评选活动，根据流程进行申报（详见附件3）</w:t>
      </w:r>
      <w:r>
        <w:rPr>
          <w:rFonts w:hint="eastAsia" w:ascii="仿宋_GB2312" w:hAnsi="仿宋_GB2312" w:eastAsia="仿宋_GB2312" w:cs="仿宋_GB2312"/>
          <w:color w:val="auto"/>
          <w:sz w:val="32"/>
          <w:szCs w:val="32"/>
        </w:rPr>
        <w:t xml:space="preserve">； </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（二）网上申报成功后，打印</w:t>
      </w:r>
      <w:r>
        <w:rPr>
          <w:rFonts w:hint="eastAsia" w:ascii="仿宋_GB2312" w:hAnsi="仿宋_GB2312" w:eastAsia="仿宋_GB2312" w:cs="仿宋_GB2312"/>
          <w:color w:val="auto"/>
          <w:sz w:val="32"/>
          <w:szCs w:val="32"/>
          <w:lang w:eastAsia="zh-CN"/>
        </w:rPr>
        <w:t>申报表</w:t>
      </w:r>
      <w:r>
        <w:rPr>
          <w:rFonts w:hint="eastAsia" w:ascii="仿宋_GB2312" w:hAnsi="仿宋_GB2312" w:eastAsia="仿宋_GB2312" w:cs="仿宋_GB2312"/>
          <w:color w:val="auto"/>
          <w:sz w:val="32"/>
          <w:szCs w:val="32"/>
        </w:rPr>
        <w:t>并加盖本单位及推荐单位公章后，报送至我会。</w:t>
      </w:r>
    </w:p>
    <w:p>
      <w:pPr>
        <w:spacing w:line="360" w:lineRule="auto"/>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第十四条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color w:val="auto"/>
          <w:sz w:val="32"/>
          <w:szCs w:val="32"/>
        </w:rPr>
        <w:t>申报资料的内容和要求</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（一）申报资料内容：</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1、申报资料的总目录；</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2、《内蒙古自治区智能化优质工程奖申报表》申报表一式二份（申报表一份装订在册、一份单独提供、）； </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3、企业营业执照、资质证明、相关许可证的复印件一份 (企业盖章有效)；</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4、该工程建造师（项目经理）证书复印件一份（机电</w:t>
      </w:r>
      <w:r>
        <w:rPr>
          <w:rFonts w:hint="eastAsia" w:ascii="仿宋_GB2312" w:hAnsi="仿宋_GB2312" w:eastAsia="仿宋_GB2312" w:cs="仿宋_GB2312"/>
          <w:color w:val="auto"/>
          <w:sz w:val="32"/>
          <w:szCs w:val="32"/>
          <w:lang w:val="en-US" w:eastAsia="zh-Hans"/>
        </w:rPr>
        <w:t>工程</w:t>
      </w:r>
      <w:r>
        <w:rPr>
          <w:rFonts w:hint="eastAsia" w:ascii="仿宋_GB2312" w:hAnsi="仿宋_GB2312" w:eastAsia="仿宋_GB2312" w:cs="仿宋_GB2312"/>
          <w:color w:val="auto"/>
          <w:sz w:val="32"/>
          <w:szCs w:val="32"/>
        </w:rPr>
        <w:t>专业或通信</w:t>
      </w:r>
      <w:r>
        <w:rPr>
          <w:rFonts w:hint="eastAsia" w:ascii="仿宋_GB2312" w:hAnsi="仿宋_GB2312" w:eastAsia="仿宋_GB2312" w:cs="仿宋_GB2312"/>
          <w:color w:val="auto"/>
          <w:sz w:val="32"/>
          <w:szCs w:val="32"/>
          <w:lang w:val="en-US" w:eastAsia="zh-Hans"/>
        </w:rPr>
        <w:t>与</w:t>
      </w:r>
      <w:r>
        <w:rPr>
          <w:rFonts w:hint="eastAsia" w:ascii="仿宋_GB2312" w:hAnsi="仿宋_GB2312" w:eastAsia="仿宋_GB2312" w:cs="仿宋_GB2312"/>
          <w:color w:val="auto"/>
          <w:sz w:val="32"/>
          <w:szCs w:val="32"/>
        </w:rPr>
        <w:t>广电专业）；</w:t>
      </w:r>
    </w:p>
    <w:p>
      <w:pPr>
        <w:spacing w:line="360" w:lineRule="auto"/>
        <w:ind w:firstLine="56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、工程竣工验收</w:t>
      </w:r>
      <w:r>
        <w:rPr>
          <w:rFonts w:hint="eastAsia" w:ascii="仿宋_GB2312" w:hAnsi="仿宋_GB2312" w:eastAsia="仿宋_GB2312" w:cs="仿宋_GB2312"/>
          <w:color w:val="auto"/>
          <w:sz w:val="32"/>
          <w:szCs w:val="32"/>
          <w:lang w:val="en-US" w:eastAsia="zh-Hans"/>
        </w:rPr>
        <w:t>报告</w:t>
      </w:r>
      <w:r>
        <w:rPr>
          <w:rFonts w:hint="eastAsia" w:ascii="仿宋_GB2312" w:hAnsi="仿宋_GB2312" w:eastAsia="仿宋_GB2312" w:cs="仿宋_GB2312"/>
          <w:color w:val="auto"/>
          <w:sz w:val="32"/>
          <w:szCs w:val="32"/>
        </w:rPr>
        <w:t>及决算</w:t>
      </w:r>
      <w:r>
        <w:rPr>
          <w:rFonts w:hint="eastAsia" w:ascii="仿宋_GB2312" w:hAnsi="仿宋_GB2312" w:eastAsia="仿宋_GB2312" w:cs="仿宋_GB2312"/>
          <w:color w:val="auto"/>
          <w:sz w:val="32"/>
          <w:szCs w:val="32"/>
          <w:lang w:val="en-US" w:eastAsia="zh-Hans"/>
        </w:rPr>
        <w:t>定案表（盖章</w:t>
      </w:r>
      <w:r>
        <w:rPr>
          <w:rFonts w:hint="default"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w:t>
      </w:r>
    </w:p>
    <w:p>
      <w:pPr>
        <w:spacing w:line="360" w:lineRule="auto"/>
        <w:ind w:firstLine="56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、总承包或主承建合同书(只需提供金额及盖章相关页)；</w:t>
      </w:r>
    </w:p>
    <w:p>
      <w:pPr>
        <w:spacing w:line="360" w:lineRule="auto"/>
        <w:ind w:firstLine="56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、项目获奖证书复印件（企业加盖公章有效）。</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（二）对申报资料的要求</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1、申报资料必须文字清晰、字体工整、内容详实</w:t>
      </w:r>
      <w:r>
        <w:rPr>
          <w:rFonts w:hint="eastAsia" w:ascii="仿宋_GB2312" w:hAnsi="仿宋_GB2312" w:eastAsia="仿宋_GB2312" w:cs="仿宋_GB2312"/>
          <w:color w:val="auto"/>
          <w:sz w:val="32"/>
          <w:szCs w:val="32"/>
          <w:lang w:eastAsia="zh-CN"/>
        </w:rPr>
        <w:t>、不得手写</w:t>
      </w:r>
      <w:r>
        <w:rPr>
          <w:rFonts w:hint="eastAsia" w:ascii="仿宋_GB2312" w:hAnsi="仿宋_GB2312" w:eastAsia="仿宋_GB2312" w:cs="仿宋_GB2312"/>
          <w:color w:val="auto"/>
          <w:sz w:val="32"/>
          <w:szCs w:val="32"/>
        </w:rPr>
        <w:t>。</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2、所有申报项目按照“申报需提供的附件资料内容”的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条的内容依次</w:t>
      </w:r>
      <w:r>
        <w:rPr>
          <w:rFonts w:hint="eastAsia" w:ascii="仿宋_GB2312" w:hAnsi="仿宋_GB2312" w:eastAsia="仿宋_GB2312" w:cs="仿宋_GB2312"/>
          <w:color w:val="auto"/>
          <w:sz w:val="32"/>
          <w:szCs w:val="32"/>
          <w:lang w:val="en-US" w:eastAsia="zh-Hans"/>
        </w:rPr>
        <w:t>附件上传</w:t>
      </w:r>
      <w:r>
        <w:rPr>
          <w:rFonts w:hint="eastAsia" w:ascii="仿宋_GB2312" w:hAnsi="仿宋_GB2312" w:eastAsia="仿宋_GB2312" w:cs="仿宋_GB2312"/>
          <w:color w:val="auto"/>
          <w:sz w:val="32"/>
          <w:szCs w:val="32"/>
        </w:rPr>
        <w:t>。</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资料必须涵盖申报工程的全部内容，其中建设地点、投资规模、建筑面积、结构类型、质量评定、工程性质和用途，以及智能化各子系统的基本情况等各方面的文字描述与工程实际情况必须一致,真实准确，如有变更，要有相应的变更手续和文件。</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4、申报单位可同时申报多个建筑类型，要求每个申报项目单独装订成册。</w:t>
      </w:r>
    </w:p>
    <w:p>
      <w:pPr>
        <w:spacing w:line="360" w:lineRule="auto"/>
        <w:ind w:firstLine="560"/>
        <w:rPr>
          <w:rFonts w:hint="eastAsia" w:ascii="仿宋_GB2312" w:hAnsi="仿宋_GB2312" w:eastAsia="仿宋_GB2312" w:cs="仿宋_GB2312"/>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第五章  工程评审</w:t>
      </w:r>
    </w:p>
    <w:p>
      <w:pPr>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第十</w:t>
      </w:r>
      <w:r>
        <w:rPr>
          <w:rFonts w:hint="eastAsia" w:ascii="仿宋_GB2312" w:hAnsi="仿宋" w:eastAsia="仿宋_GB2312"/>
          <w:b/>
          <w:color w:val="auto"/>
          <w:sz w:val="32"/>
          <w:szCs w:val="32"/>
          <w:lang w:eastAsia="zh-CN"/>
        </w:rPr>
        <w:t>五</w:t>
      </w:r>
      <w:r>
        <w:rPr>
          <w:rFonts w:hint="eastAsia" w:ascii="仿宋_GB2312" w:hAnsi="仿宋" w:eastAsia="仿宋_GB2312"/>
          <w:b/>
          <w:color w:val="auto"/>
          <w:sz w:val="32"/>
          <w:szCs w:val="32"/>
        </w:rPr>
        <w:t>条</w:t>
      </w:r>
      <w:r>
        <w:rPr>
          <w:rFonts w:hint="eastAsia" w:ascii="仿宋_GB2312" w:hAnsi="仿宋" w:eastAsia="仿宋_GB2312"/>
          <w:color w:val="auto"/>
          <w:sz w:val="32"/>
          <w:szCs w:val="32"/>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auto"/>
          <w:sz w:val="32"/>
          <w:szCs w:val="32"/>
          <w:lang w:val="en-US" w:eastAsia="zh-CN"/>
        </w:rPr>
        <w:t>签署推荐意见后统一上报</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color w:val="auto"/>
          <w:sz w:val="32"/>
          <w:szCs w:val="32"/>
          <w:lang w:val="en-US" w:eastAsia="zh-CN"/>
        </w:rPr>
      </w:pPr>
      <w:r>
        <w:rPr>
          <w:rFonts w:hint="eastAsia" w:ascii="仿宋_GB2312" w:hAnsi="仿宋" w:eastAsia="仿宋_GB2312"/>
          <w:b/>
          <w:color w:val="auto"/>
          <w:sz w:val="32"/>
          <w:szCs w:val="32"/>
        </w:rPr>
        <w:t>第十</w:t>
      </w:r>
      <w:r>
        <w:rPr>
          <w:rFonts w:hint="eastAsia" w:ascii="仿宋_GB2312" w:hAnsi="仿宋" w:eastAsia="仿宋_GB2312"/>
          <w:b/>
          <w:color w:val="auto"/>
          <w:sz w:val="32"/>
          <w:szCs w:val="32"/>
          <w:lang w:eastAsia="zh-CN"/>
        </w:rPr>
        <w:t>六</w:t>
      </w:r>
      <w:r>
        <w:rPr>
          <w:rFonts w:hint="eastAsia" w:ascii="仿宋_GB2312" w:hAnsi="仿宋" w:eastAsia="仿宋_GB2312"/>
          <w:b/>
          <w:color w:val="auto"/>
          <w:sz w:val="32"/>
          <w:szCs w:val="32"/>
        </w:rPr>
        <w:t xml:space="preserve">条  </w:t>
      </w:r>
      <w:r>
        <w:rPr>
          <w:rFonts w:hint="eastAsia" w:ascii="仿宋_GB2312" w:hAnsi="仿宋_GB2312" w:eastAsia="仿宋_GB2312" w:cs="仿宋_GB2312"/>
          <w:color w:val="auto"/>
          <w:sz w:val="32"/>
          <w:szCs w:val="32"/>
        </w:rPr>
        <w:t>“内蒙古自治区智能化优质工程”</w:t>
      </w:r>
      <w:r>
        <w:rPr>
          <w:rFonts w:hint="eastAsia" w:ascii="仿宋_GB2312" w:hAnsi="仿宋" w:eastAsia="仿宋_GB2312"/>
          <w:color w:val="auto"/>
          <w:sz w:val="32"/>
          <w:szCs w:val="32"/>
        </w:rPr>
        <w:t>的资料审查、工程复查</w:t>
      </w:r>
      <w:r>
        <w:rPr>
          <w:rFonts w:hint="eastAsia" w:ascii="仿宋_GB2312" w:hAnsi="仿宋" w:eastAsia="仿宋_GB2312"/>
          <w:color w:val="auto"/>
          <w:sz w:val="32"/>
          <w:szCs w:val="32"/>
          <w:lang w:eastAsia="zh-CN"/>
        </w:rPr>
        <w:t>的具体工作由</w:t>
      </w:r>
      <w:r>
        <w:rPr>
          <w:rFonts w:hint="eastAsia" w:ascii="仿宋_GB2312" w:hAnsi="仿宋_GB2312" w:eastAsia="仿宋_GB2312" w:cs="仿宋_GB2312"/>
          <w:b w:val="0"/>
          <w:bCs w:val="0"/>
          <w:color w:val="auto"/>
          <w:sz w:val="32"/>
          <w:szCs w:val="32"/>
        </w:rPr>
        <w:t>内蒙古自治区建筑业协会</w:t>
      </w:r>
      <w:r>
        <w:rPr>
          <w:rFonts w:hint="eastAsia" w:ascii="仿宋_GB2312" w:hAnsi="仿宋_GB2312" w:eastAsia="仿宋_GB2312" w:cs="仿宋_GB2312"/>
          <w:b w:val="0"/>
          <w:bCs w:val="0"/>
          <w:color w:val="auto"/>
          <w:sz w:val="32"/>
          <w:szCs w:val="32"/>
          <w:lang w:val="en-US" w:eastAsia="zh-Hans"/>
        </w:rPr>
        <w:t>绿色建造与</w:t>
      </w:r>
      <w:r>
        <w:rPr>
          <w:rFonts w:hint="eastAsia" w:ascii="仿宋_GB2312" w:hAnsi="仿宋_GB2312" w:eastAsia="仿宋_GB2312" w:cs="仿宋_GB2312"/>
          <w:b w:val="0"/>
          <w:bCs w:val="0"/>
          <w:color w:val="auto"/>
          <w:sz w:val="32"/>
          <w:szCs w:val="32"/>
          <w:lang w:eastAsia="zh-CN"/>
        </w:rPr>
        <w:t>智能化分会秘书处负责组织</w:t>
      </w:r>
      <w:r>
        <w:rPr>
          <w:rFonts w:hint="eastAsia" w:ascii="仿宋_GB2312" w:hAnsi="仿宋" w:eastAsia="仿宋_GB2312"/>
          <w:color w:val="auto"/>
          <w:sz w:val="32"/>
          <w:szCs w:val="32"/>
        </w:rPr>
        <w:t>，复查和</w:t>
      </w:r>
      <w:r>
        <w:rPr>
          <w:rFonts w:hint="eastAsia" w:ascii="仿宋_GB2312" w:hAnsi="Times New Roman" w:eastAsia="仿宋_GB2312" w:cs="Times New Roman"/>
          <w:color w:val="auto"/>
          <w:sz w:val="32"/>
          <w:szCs w:val="32"/>
          <w:lang w:bidi="ar"/>
        </w:rPr>
        <w:t>评审组成人员由内蒙古自治区</w:t>
      </w:r>
      <w:r>
        <w:rPr>
          <w:rFonts w:hint="eastAsia" w:ascii="仿宋_GB2312" w:hAnsi="仿宋" w:eastAsia="仿宋_GB2312"/>
          <w:color w:val="auto"/>
          <w:sz w:val="32"/>
          <w:szCs w:val="32"/>
          <w:lang w:eastAsia="zh-CN"/>
        </w:rPr>
        <w:t>建筑业协会专家委员会专家库抽选。</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工程复查</w:t>
      </w:r>
      <w:r>
        <w:rPr>
          <w:rFonts w:hint="eastAsia" w:ascii="仿宋_GB2312" w:hAnsi="仿宋_GB2312" w:eastAsia="仿宋_GB2312" w:cs="仿宋_GB2312"/>
          <w:color w:val="auto"/>
          <w:sz w:val="32"/>
          <w:szCs w:val="32"/>
        </w:rPr>
        <w:t>由功能效益评估、设计与施工及产品质量评估、运行维护与资料评估三个部分组成，实施量化综合评估。</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color w:val="auto"/>
          <w:sz w:val="32"/>
          <w:szCs w:val="32"/>
        </w:rPr>
      </w:pPr>
      <w:r>
        <w:rPr>
          <w:rFonts w:hint="eastAsia" w:ascii="仿宋_GB2312" w:hAnsi="仿宋" w:eastAsia="仿宋_GB2312"/>
          <w:b/>
          <w:bCs/>
          <w:color w:val="auto"/>
          <w:sz w:val="32"/>
          <w:szCs w:val="32"/>
          <w:lang w:val="en-US" w:eastAsia="zh-CN"/>
        </w:rPr>
        <w:t xml:space="preserve">第十八条  </w:t>
      </w:r>
      <w:r>
        <w:rPr>
          <w:rFonts w:hint="eastAsia" w:ascii="仿宋_GB2312" w:hAnsi="仿宋" w:eastAsia="仿宋_GB2312"/>
          <w:color w:val="auto"/>
          <w:sz w:val="32"/>
          <w:szCs w:val="32"/>
          <w:lang w:eastAsia="zh-CN"/>
        </w:rPr>
        <w:t>工</w:t>
      </w:r>
      <w:r>
        <w:rPr>
          <w:rFonts w:hint="eastAsia" w:ascii="仿宋_GB2312" w:hAnsi="仿宋" w:eastAsia="仿宋_GB2312"/>
          <w:color w:val="auto"/>
          <w:sz w:val="32"/>
          <w:szCs w:val="32"/>
        </w:rPr>
        <w:t>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lang w:bidi="ar"/>
        </w:rPr>
        <w:t>进行表决，获半数以上赞同票通过，</w:t>
      </w:r>
      <w:r>
        <w:rPr>
          <w:rFonts w:hint="eastAsia" w:ascii="仿宋_GB2312" w:hAnsi="仿宋_GB2312" w:eastAsia="仿宋_GB2312" w:cs="仿宋_GB2312"/>
          <w:color w:val="auto"/>
          <w:kern w:val="0"/>
          <w:sz w:val="32"/>
          <w:szCs w:val="32"/>
          <w:highlight w:val="none"/>
          <w:shd w:val="clear" w:color="auto" w:fill="FFFFFF"/>
          <w:lang w:eastAsia="zh-CN" w:bidi="ar"/>
        </w:rPr>
        <w:t>评审结果报自治区建筑业协会批准后表彰</w:t>
      </w:r>
      <w:r>
        <w:rPr>
          <w:rFonts w:hint="eastAsia" w:ascii="仿宋_GB2312" w:hAnsi="仿宋" w:eastAsia="仿宋_GB2312"/>
          <w:color w:val="auto"/>
          <w:sz w:val="32"/>
          <w:szCs w:val="32"/>
        </w:rPr>
        <w:t>。</w:t>
      </w:r>
    </w:p>
    <w:p>
      <w:pPr>
        <w:spacing w:line="360" w:lineRule="auto"/>
        <w:rPr>
          <w:rFonts w:hint="eastAsia" w:ascii="仿宋_GB2312" w:hAnsi="仿宋_GB2312" w:eastAsia="仿宋_GB2312" w:cs="仿宋_GB2312"/>
          <w:color w:val="auto"/>
          <w:sz w:val="32"/>
          <w:szCs w:val="32"/>
        </w:rPr>
      </w:pPr>
    </w:p>
    <w:p>
      <w:pPr>
        <w:spacing w:line="360" w:lineRule="auto"/>
        <w:jc w:val="center"/>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 xml:space="preserve">第六章  奖  </w:t>
      </w:r>
      <w:r>
        <w:rPr>
          <w:rFonts w:hint="eastAsia" w:ascii="仿宋_GB2312" w:hAnsi="仿宋_GB2312" w:eastAsia="仿宋_GB2312" w:cs="仿宋_GB2312"/>
          <w:b/>
          <w:color w:val="auto"/>
          <w:sz w:val="32"/>
          <w:szCs w:val="32"/>
          <w:lang w:eastAsia="zh-CN"/>
        </w:rPr>
        <w:t>罚</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申报项目曾获盟市级及以上奖项，给予适当加分。</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申报单位要坚持实事求是，不得弄虚作假，不搞违法违纪行为，对违反规定的，视情节给予批评，直至撤销申报和获奖资格。</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二十一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复查和评审人员要秉公办事，廉洁自律，对违反者，一经查实，撤销参加工程复查和评审委员资格。</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对已获奖的工程项目，若发现该工程存在严重隐患或其他问题，我会有权取消该工程的奖项。</w:t>
      </w:r>
    </w:p>
    <w:p>
      <w:pPr>
        <w:spacing w:line="36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对通过“内蒙古自治区智能化优质工程”评选的申报单位，我会将对申报单位、主要参建单位颁发《内蒙古自治区智能化优质工程》证书及奖杯，并通报表彰。同时在《内蒙古建筑业》期刊、内蒙古自治区建筑业协会网站（www.nmjx.org）及有关媒体上公布表彰。</w:t>
      </w:r>
    </w:p>
    <w:p>
      <w:pPr>
        <w:spacing w:line="360" w:lineRule="auto"/>
        <w:rPr>
          <w:rFonts w:hint="eastAsia" w:ascii="仿宋_GB2312" w:hAnsi="仿宋_GB2312" w:eastAsia="仿宋_GB2312" w:cs="仿宋_GB2312"/>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章  附  则</w:t>
      </w:r>
    </w:p>
    <w:p>
      <w:p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本办法由内蒙古自治区建筑业协会负责解释。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第二十五条 </w:t>
      </w:r>
      <w:r>
        <w:rPr>
          <w:rFonts w:hint="eastAsia" w:ascii="仿宋_GB2312" w:hAnsi="仿宋_GB2312" w:eastAsia="仿宋_GB2312" w:cs="仿宋_GB2312"/>
          <w:b w:val="0"/>
          <w:bCs w:val="0"/>
          <w:color w:val="auto"/>
          <w:sz w:val="32"/>
          <w:szCs w:val="32"/>
          <w:lang w:val="en-US" w:eastAsia="zh-CN"/>
        </w:rPr>
        <w:t xml:space="preserve"> 本办法自公布之日起实施。20</w:t>
      </w:r>
      <w:r>
        <w:rPr>
          <w:rFonts w:hint="default"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lang w:val="en-US" w:eastAsia="zh-CN"/>
        </w:rPr>
        <w:t>0年7月13日颁发的《内蒙古自治区</w:t>
      </w:r>
      <w:r>
        <w:rPr>
          <w:rFonts w:hint="eastAsia" w:ascii="仿宋_GB2312" w:hAnsi="仿宋_GB2312" w:eastAsia="仿宋_GB2312" w:cs="仿宋_GB2312"/>
          <w:color w:val="auto"/>
          <w:sz w:val="32"/>
          <w:szCs w:val="32"/>
        </w:rPr>
        <w:t>智能化优质工程</w:t>
      </w:r>
      <w:r>
        <w:rPr>
          <w:rFonts w:hint="eastAsia" w:ascii="仿宋_GB2312" w:hAnsi="仿宋_GB2312" w:eastAsia="仿宋_GB2312" w:cs="仿宋_GB2312"/>
          <w:color w:val="auto"/>
          <w:sz w:val="32"/>
          <w:szCs w:val="32"/>
          <w:lang w:eastAsia="zh-CN"/>
        </w:rPr>
        <w:t>奖评选办法</w:t>
      </w:r>
      <w:r>
        <w:rPr>
          <w:rFonts w:hint="eastAsia" w:ascii="仿宋_GB2312" w:hAnsi="仿宋_GB2312" w:eastAsia="仿宋_GB2312" w:cs="仿宋_GB2312"/>
          <w:b w:val="0"/>
          <w:bCs w:val="0"/>
          <w:color w:val="auto"/>
          <w:sz w:val="32"/>
          <w:szCs w:val="32"/>
          <w:lang w:val="en-US" w:eastAsia="zh-CN"/>
        </w:rPr>
        <w:t>（试行）》（内建协〔20</w:t>
      </w:r>
      <w:r>
        <w:rPr>
          <w:rFonts w:hint="default"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〕120号）同时废止。</w:t>
      </w:r>
    </w:p>
    <w:p>
      <w:pPr>
        <w:widowControl/>
        <w:ind w:firstLine="640" w:firstLineChars="200"/>
        <w:jc w:val="left"/>
        <w:rPr>
          <w:rFonts w:hint="eastAsia" w:ascii="仿宋_GB2312" w:hAnsi="仿宋_GB2312" w:eastAsia="仿宋_GB2312" w:cs="仿宋_GB2312"/>
          <w:color w:val="auto"/>
          <w:sz w:val="32"/>
          <w:szCs w:val="32"/>
        </w:rPr>
      </w:pPr>
    </w:p>
    <w:p>
      <w:pPr>
        <w:widowControl/>
        <w:jc w:val="left"/>
        <w:rPr>
          <w:rFonts w:hint="eastAsia" w:ascii="仿宋" w:hAnsi="仿宋" w:eastAsia="仿宋" w:cs="仿宋"/>
          <w:color w:val="auto"/>
          <w:sz w:val="28"/>
          <w:szCs w:val="28"/>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ascii="仿宋" w:hAnsi="仿宋" w:eastAsia="仿宋" w:cs="仿宋"/>
          <w:color w:val="auto"/>
          <w:sz w:val="28"/>
          <w:szCs w:val="28"/>
        </w:rPr>
        <w:br w:type="page"/>
      </w:r>
    </w:p>
    <w:tbl>
      <w:tblPr>
        <w:tblStyle w:val="4"/>
        <w:tblW w:w="14530" w:type="dxa"/>
        <w:tblInd w:w="1" w:type="dxa"/>
        <w:tblLayout w:type="fixed"/>
        <w:tblCellMar>
          <w:top w:w="0" w:type="dxa"/>
          <w:left w:w="108" w:type="dxa"/>
          <w:bottom w:w="0" w:type="dxa"/>
          <w:right w:w="108" w:type="dxa"/>
        </w:tblCellMar>
      </w:tblPr>
      <w:tblGrid>
        <w:gridCol w:w="720"/>
        <w:gridCol w:w="1355"/>
        <w:gridCol w:w="725"/>
        <w:gridCol w:w="6286"/>
        <w:gridCol w:w="4214"/>
        <w:gridCol w:w="1230"/>
      </w:tblGrid>
      <w:tr>
        <w:tblPrEx>
          <w:tblLayout w:type="fixed"/>
          <w:tblCellMar>
            <w:top w:w="0" w:type="dxa"/>
            <w:left w:w="108" w:type="dxa"/>
            <w:bottom w:w="0" w:type="dxa"/>
            <w:right w:w="108" w:type="dxa"/>
          </w:tblCellMar>
        </w:tblPrEx>
        <w:trPr>
          <w:trHeight w:val="1024" w:hRule="atLeast"/>
        </w:trPr>
        <w:tc>
          <w:tcPr>
            <w:tcW w:w="14530" w:type="dxa"/>
            <w:gridSpan w:val="6"/>
            <w:tcBorders>
              <w:top w:val="nil"/>
              <w:left w:val="nil"/>
              <w:bottom w:val="single" w:color="auto" w:sz="4" w:space="0"/>
              <w:right w:val="nil"/>
            </w:tcBorders>
            <w:vAlign w:val="center"/>
          </w:tcPr>
          <w:p>
            <w:pPr>
              <w:widowControl/>
              <w:jc w:val="center"/>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内蒙古自治区智能化优质工程奖评选计分表</w:t>
            </w:r>
          </w:p>
        </w:tc>
      </w:tr>
      <w:tr>
        <w:tblPrEx>
          <w:tblLayout w:type="fixed"/>
          <w:tblCellMar>
            <w:top w:w="0" w:type="dxa"/>
            <w:left w:w="108" w:type="dxa"/>
            <w:bottom w:w="0" w:type="dxa"/>
            <w:right w:w="108" w:type="dxa"/>
          </w:tblCellMar>
        </w:tblPrEx>
        <w:trPr>
          <w:trHeight w:val="744"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35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检查项目</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权重</w:t>
            </w:r>
          </w:p>
        </w:tc>
        <w:tc>
          <w:tcPr>
            <w:tcW w:w="628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评分标准</w:t>
            </w:r>
          </w:p>
        </w:tc>
        <w:tc>
          <w:tcPr>
            <w:tcW w:w="421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检查要点</w:t>
            </w:r>
          </w:p>
        </w:tc>
        <w:tc>
          <w:tcPr>
            <w:tcW w:w="123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Hans"/>
              </w:rPr>
              <w:t>专家</w:t>
            </w:r>
          </w:p>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Hans"/>
              </w:rPr>
              <w:t>评</w:t>
            </w:r>
            <w:r>
              <w:rPr>
                <w:rFonts w:hint="eastAsia" w:ascii="仿宋" w:hAnsi="仿宋" w:eastAsia="仿宋" w:cs="仿宋"/>
                <w:b/>
                <w:bCs/>
                <w:color w:val="auto"/>
                <w:kern w:val="0"/>
                <w:sz w:val="24"/>
                <w:szCs w:val="24"/>
              </w:rPr>
              <w:t>分</w:t>
            </w:r>
          </w:p>
        </w:tc>
      </w:tr>
      <w:tr>
        <w:tblPrEx>
          <w:tblLayout w:type="fixed"/>
          <w:tblCellMar>
            <w:top w:w="0" w:type="dxa"/>
            <w:left w:w="108" w:type="dxa"/>
            <w:bottom w:w="0" w:type="dxa"/>
            <w:right w:w="108" w:type="dxa"/>
          </w:tblCellMar>
        </w:tblPrEx>
        <w:trPr>
          <w:trHeight w:val="612"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1</w:t>
            </w:r>
          </w:p>
        </w:tc>
        <w:tc>
          <w:tcPr>
            <w:tcW w:w="13810"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设计质量（20分）</w:t>
            </w:r>
          </w:p>
        </w:tc>
      </w:tr>
      <w:tr>
        <w:tblPrEx>
          <w:tblLayout w:type="fixed"/>
          <w:tblCellMar>
            <w:top w:w="0" w:type="dxa"/>
            <w:left w:w="108" w:type="dxa"/>
            <w:bottom w:w="0" w:type="dxa"/>
            <w:right w:w="108" w:type="dxa"/>
          </w:tblCellMar>
        </w:tblPrEx>
        <w:trPr>
          <w:trHeight w:val="1035" w:hRule="atLeast"/>
        </w:trPr>
        <w:tc>
          <w:tcPr>
            <w:tcW w:w="72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135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设计</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合理性</w:t>
            </w:r>
          </w:p>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13分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6286"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系统定位合理，设计符合建筑功能和管理需求</w:t>
            </w:r>
          </w:p>
        </w:tc>
        <w:tc>
          <w:tcPr>
            <w:tcW w:w="42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安防评审报告、消防评审报告、智能化系统检测报告审查、现场勘察</w:t>
            </w:r>
          </w:p>
        </w:tc>
        <w:tc>
          <w:tcPr>
            <w:tcW w:w="123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894" w:hRule="atLeast"/>
        </w:trPr>
        <w:tc>
          <w:tcPr>
            <w:tcW w:w="72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5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6286"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strike w:val="0"/>
                <w:color w:val="auto"/>
                <w:kern w:val="0"/>
                <w:sz w:val="24"/>
                <w:szCs w:val="24"/>
                <w:lang w:val="en-US" w:eastAsia="zh-Hans"/>
              </w:rPr>
              <w:t>系统</w:t>
            </w:r>
            <w:r>
              <w:rPr>
                <w:rFonts w:hint="eastAsia" w:ascii="仿宋" w:hAnsi="仿宋" w:eastAsia="仿宋" w:cs="仿宋"/>
                <w:color w:val="auto"/>
                <w:kern w:val="0"/>
                <w:sz w:val="24"/>
                <w:szCs w:val="24"/>
              </w:rPr>
              <w:t>布局合理，便于维修、改造和更换</w:t>
            </w:r>
          </w:p>
        </w:tc>
        <w:tc>
          <w:tcPr>
            <w:tcW w:w="42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现场勘查弱电间及管</w:t>
            </w:r>
            <w:r>
              <w:rPr>
                <w:rFonts w:hint="eastAsia" w:ascii="仿宋" w:hAnsi="仿宋" w:eastAsia="仿宋" w:cs="仿宋"/>
                <w:color w:val="auto"/>
                <w:kern w:val="0"/>
                <w:sz w:val="24"/>
                <w:szCs w:val="24"/>
                <w:lang w:val="en-US" w:eastAsia="zh-Hans"/>
              </w:rPr>
              <w:t>道</w:t>
            </w:r>
            <w:r>
              <w:rPr>
                <w:rFonts w:hint="eastAsia" w:ascii="仿宋" w:hAnsi="仿宋" w:eastAsia="仿宋" w:cs="仿宋"/>
                <w:color w:val="auto"/>
                <w:kern w:val="0"/>
                <w:sz w:val="24"/>
                <w:szCs w:val="24"/>
              </w:rPr>
              <w:t>井</w:t>
            </w:r>
          </w:p>
        </w:tc>
        <w:tc>
          <w:tcPr>
            <w:tcW w:w="123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999"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w:t>
            </w:r>
          </w:p>
        </w:tc>
        <w:tc>
          <w:tcPr>
            <w:tcW w:w="135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设计</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规范性</w:t>
            </w:r>
          </w:p>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6286"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符合现行设计规范</w:t>
            </w:r>
          </w:p>
        </w:tc>
        <w:tc>
          <w:tcPr>
            <w:tcW w:w="42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与现行设计规范相符合</w:t>
            </w:r>
          </w:p>
        </w:tc>
        <w:tc>
          <w:tcPr>
            <w:tcW w:w="123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1.3</w:t>
            </w:r>
          </w:p>
        </w:tc>
        <w:tc>
          <w:tcPr>
            <w:tcW w:w="135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设计集成度和开放度</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3分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6286"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设计集成度和开放度较高</w:t>
            </w:r>
          </w:p>
        </w:tc>
        <w:tc>
          <w:tcPr>
            <w:tcW w:w="42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设计说明和系统图审查</w:t>
            </w:r>
          </w:p>
        </w:tc>
        <w:tc>
          <w:tcPr>
            <w:tcW w:w="123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717" w:hRule="atLeast"/>
        </w:trPr>
        <w:tc>
          <w:tcPr>
            <w:tcW w:w="1453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得分小计：</w:t>
            </w:r>
          </w:p>
        </w:tc>
      </w:tr>
    </w:tbl>
    <w:p>
      <w:pPr>
        <w:rPr>
          <w:rFonts w:asciiTheme="minorEastAsia" w:hAnsiTheme="minorEastAsia"/>
          <w:b/>
          <w:color w:val="auto"/>
          <w:sz w:val="36"/>
          <w:szCs w:val="28"/>
        </w:rPr>
      </w:pPr>
    </w:p>
    <w:p>
      <w:pPr>
        <w:rPr>
          <w:rFonts w:asciiTheme="minorEastAsia" w:hAnsiTheme="minorEastAsia"/>
          <w:b/>
          <w:color w:val="auto"/>
          <w:szCs w:val="18"/>
        </w:rPr>
      </w:pPr>
    </w:p>
    <w:p>
      <w:pPr>
        <w:rPr>
          <w:rFonts w:asciiTheme="minorEastAsia" w:hAnsiTheme="minorEastAsia"/>
          <w:b/>
          <w:color w:val="auto"/>
          <w:szCs w:val="18"/>
        </w:rPr>
      </w:pPr>
    </w:p>
    <w:p>
      <w:pPr>
        <w:rPr>
          <w:rFonts w:asciiTheme="minorEastAsia" w:hAnsiTheme="minorEastAsia"/>
          <w:b/>
          <w:color w:val="auto"/>
          <w:szCs w:val="18"/>
        </w:rPr>
      </w:pPr>
    </w:p>
    <w:tbl>
      <w:tblPr>
        <w:tblStyle w:val="4"/>
        <w:tblpPr w:leftFromText="180" w:rightFromText="180" w:vertAnchor="text" w:horzAnchor="page" w:tblpX="1143" w:tblpY="182"/>
        <w:tblOverlap w:val="never"/>
        <w:tblW w:w="14548" w:type="dxa"/>
        <w:tblInd w:w="0" w:type="dxa"/>
        <w:tblLayout w:type="fixed"/>
        <w:tblCellMar>
          <w:top w:w="0" w:type="dxa"/>
          <w:left w:w="108" w:type="dxa"/>
          <w:bottom w:w="0" w:type="dxa"/>
          <w:right w:w="108" w:type="dxa"/>
        </w:tblCellMar>
      </w:tblPr>
      <w:tblGrid>
        <w:gridCol w:w="709"/>
        <w:gridCol w:w="1367"/>
        <w:gridCol w:w="725"/>
        <w:gridCol w:w="6253"/>
        <w:gridCol w:w="4264"/>
        <w:gridCol w:w="1230"/>
      </w:tblGrid>
      <w:tr>
        <w:tblPrEx>
          <w:tblLayout w:type="fixed"/>
          <w:tblCellMar>
            <w:top w:w="0" w:type="dxa"/>
            <w:left w:w="108" w:type="dxa"/>
            <w:bottom w:w="0" w:type="dxa"/>
            <w:right w:w="108" w:type="dxa"/>
          </w:tblCellMar>
        </w:tblPrEx>
        <w:trPr>
          <w:trHeight w:val="53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2</w:t>
            </w:r>
          </w:p>
        </w:tc>
        <w:tc>
          <w:tcPr>
            <w:tcW w:w="13839" w:type="dxa"/>
            <w:gridSpan w:val="5"/>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施工与调试质量 （50分）</w:t>
            </w:r>
          </w:p>
        </w:tc>
      </w:tr>
      <w:tr>
        <w:tblPrEx>
          <w:tblLayout w:type="fixed"/>
          <w:tblCellMar>
            <w:top w:w="0" w:type="dxa"/>
            <w:left w:w="108" w:type="dxa"/>
            <w:bottom w:w="0" w:type="dxa"/>
            <w:right w:w="108" w:type="dxa"/>
          </w:tblCellMar>
        </w:tblPrEx>
        <w:trPr>
          <w:trHeight w:val="379"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2.1</w:t>
            </w:r>
          </w:p>
        </w:tc>
        <w:tc>
          <w:tcPr>
            <w:tcW w:w="1367"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施工过</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程管理</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 分</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6253"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按规定进行工程开工报审程序</w:t>
            </w:r>
          </w:p>
        </w:tc>
        <w:tc>
          <w:tcPr>
            <w:tcW w:w="4264"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开工报审表</w:t>
            </w:r>
          </w:p>
        </w:tc>
        <w:tc>
          <w:tcPr>
            <w:tcW w:w="123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471"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按规定进行施工前的图纸会审和设计交底</w:t>
            </w:r>
          </w:p>
        </w:tc>
        <w:tc>
          <w:tcPr>
            <w:tcW w:w="4264"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施工前的图纸会审和设计交底记录</w:t>
            </w:r>
          </w:p>
        </w:tc>
        <w:tc>
          <w:tcPr>
            <w:tcW w:w="123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510"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按规定编制施工组织设计并交底，对施工关键技术的组织说明</w:t>
            </w:r>
          </w:p>
        </w:tc>
        <w:tc>
          <w:tcPr>
            <w:tcW w:w="4264"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施工组织设计及其三级交底记录</w:t>
            </w:r>
          </w:p>
        </w:tc>
        <w:tc>
          <w:tcPr>
            <w:tcW w:w="1230"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67"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按规定编制施工日志</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施工日志</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82"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施工单位调试报告规范齐全</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施工单位调试报告</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57"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技术创新：应用新技术、新工艺</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专利、工法、论文</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490"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w:t>
            </w:r>
          </w:p>
        </w:tc>
        <w:tc>
          <w:tcPr>
            <w:tcW w:w="1367"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 工</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质 量</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30 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隐蔽工程中间验收齐全规范</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施工单位自检资料、监理验收资料</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645"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设备安装位置合理、安装工艺符合规范要求，细部处理和观感质量比较到位</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现场勘查</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80"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桥架、管路、线缆敷设符合规范要求，空间布局合理</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现场勘查</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402" w:hRule="atLeast"/>
        </w:trPr>
        <w:tc>
          <w:tcPr>
            <w:tcW w:w="709"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机房、弱电间等布局合理，线缆敷设规范，标识清晰，便于维护</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现场勘查</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510"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1367" w:type="dxa"/>
            <w:vMerge w:val="continue"/>
            <w:tcBorders>
              <w:left w:val="single" w:color="auto" w:sz="4" w:space="0"/>
              <w:bottom w:val="nil"/>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综合布线信息点100%自检合格（提供自检报告），三方检查（不低于10%）合格</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现场勘查、调试（结果、报告）</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72" w:hRule="atLeast"/>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w:t>
            </w:r>
          </w:p>
        </w:tc>
        <w:tc>
          <w:tcPr>
            <w:tcW w:w="136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验收及</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交付</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系统检测合格</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系统检测报告</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7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1367"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系统竣工资料规范、齐全</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工程竣工资料</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3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1367"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工程竣工验收合格</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工程竣工验收报告</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66"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1367"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承建方提供各系统操作说明</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各系统操作说明</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86"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1367"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6253"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承建方提供具有实际可操作性的操作培训，培训记录完整</w:t>
            </w:r>
          </w:p>
        </w:tc>
        <w:tc>
          <w:tcPr>
            <w:tcW w:w="4264"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各系统操作培训记录</w:t>
            </w:r>
          </w:p>
        </w:tc>
        <w:tc>
          <w:tcPr>
            <w:tcW w:w="1230" w:type="dxa"/>
            <w:tcBorders>
              <w:top w:val="nil"/>
              <w:left w:val="nil"/>
              <w:bottom w:val="single" w:color="auto" w:sz="4" w:space="0"/>
              <w:right w:val="single" w:color="auto" w:sz="4" w:space="0"/>
            </w:tcBorders>
            <w:vAlign w:val="center"/>
          </w:tcPr>
          <w:p>
            <w:pPr>
              <w:widowControl/>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79" w:hRule="atLeast"/>
        </w:trPr>
        <w:tc>
          <w:tcPr>
            <w:tcW w:w="1454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lang w:val="en-US" w:eastAsia="zh-CN"/>
              </w:rPr>
              <w:t xml:space="preserve">         </w:t>
            </w:r>
            <w:r>
              <w:rPr>
                <w:rFonts w:hint="eastAsia" w:ascii="仿宋" w:hAnsi="仿宋" w:eastAsia="仿宋" w:cs="仿宋"/>
                <w:b/>
                <w:color w:val="auto"/>
                <w:kern w:val="0"/>
                <w:sz w:val="24"/>
                <w:szCs w:val="24"/>
              </w:rPr>
              <w:t>得分小计：</w:t>
            </w:r>
          </w:p>
        </w:tc>
      </w:tr>
    </w:tbl>
    <w:tbl>
      <w:tblPr>
        <w:tblStyle w:val="4"/>
        <w:tblpPr w:leftFromText="180" w:rightFromText="180" w:vertAnchor="text" w:horzAnchor="page" w:tblpX="1126" w:tblpY="225"/>
        <w:tblOverlap w:val="never"/>
        <w:tblW w:w="14151" w:type="dxa"/>
        <w:tblInd w:w="0" w:type="dxa"/>
        <w:tblLayout w:type="fixed"/>
        <w:tblCellMar>
          <w:top w:w="0" w:type="dxa"/>
          <w:left w:w="108" w:type="dxa"/>
          <w:bottom w:w="0" w:type="dxa"/>
          <w:right w:w="108" w:type="dxa"/>
        </w:tblCellMar>
      </w:tblPr>
      <w:tblGrid>
        <w:gridCol w:w="705"/>
        <w:gridCol w:w="1361"/>
        <w:gridCol w:w="725"/>
        <w:gridCol w:w="6269"/>
        <w:gridCol w:w="4281"/>
        <w:gridCol w:w="810"/>
      </w:tblGrid>
      <w:tr>
        <w:tblPrEx>
          <w:tblLayout w:type="fixed"/>
          <w:tblCellMar>
            <w:top w:w="0" w:type="dxa"/>
            <w:left w:w="108" w:type="dxa"/>
            <w:bottom w:w="0" w:type="dxa"/>
            <w:right w:w="108" w:type="dxa"/>
          </w:tblCellMar>
        </w:tblPrEx>
        <w:trPr>
          <w:trHeight w:val="457"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3</w:t>
            </w:r>
          </w:p>
        </w:tc>
        <w:tc>
          <w:tcPr>
            <w:tcW w:w="13446"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运营保障 30分</w:t>
            </w:r>
          </w:p>
        </w:tc>
      </w:tr>
      <w:tr>
        <w:tblPrEx>
          <w:tblLayout w:type="fixed"/>
          <w:tblCellMar>
            <w:top w:w="0" w:type="dxa"/>
            <w:left w:w="108" w:type="dxa"/>
            <w:bottom w:w="0" w:type="dxa"/>
            <w:right w:w="108" w:type="dxa"/>
          </w:tblCellMar>
        </w:tblPrEx>
        <w:trPr>
          <w:trHeight w:val="645"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3.1</w:t>
            </w:r>
          </w:p>
        </w:tc>
        <w:tc>
          <w:tcPr>
            <w:tcW w:w="136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维保制度，5分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626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有完整规范的维修保养制度，并有相应的维保记录</w:t>
            </w:r>
          </w:p>
        </w:tc>
        <w:tc>
          <w:tcPr>
            <w:tcW w:w="42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维修保养制度</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63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3.2</w:t>
            </w:r>
          </w:p>
        </w:tc>
        <w:tc>
          <w:tcPr>
            <w:tcW w:w="136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维保质量，5分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626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维保服务规范，记录完整，措施到位及时</w:t>
            </w:r>
          </w:p>
        </w:tc>
        <w:tc>
          <w:tcPr>
            <w:tcW w:w="42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维保记录</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655"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3.3</w:t>
            </w:r>
          </w:p>
        </w:tc>
        <w:tc>
          <w:tcPr>
            <w:tcW w:w="136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运营质量，10分</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6269"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系统运营稳定可靠，历史数据完整，提高了建筑物管理水平和应对应急事件的能力</w:t>
            </w:r>
          </w:p>
        </w:tc>
        <w:tc>
          <w:tcPr>
            <w:tcW w:w="428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物业运行报告、系统历史记录</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51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3.4</w:t>
            </w:r>
          </w:p>
        </w:tc>
        <w:tc>
          <w:tcPr>
            <w:tcW w:w="136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用户满意度，10分</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626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用户满意度较高</w:t>
            </w:r>
          </w:p>
        </w:tc>
        <w:tc>
          <w:tcPr>
            <w:tcW w:w="428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现场使用方调查或用户满意度报告</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489" w:hRule="atLeast"/>
        </w:trPr>
        <w:tc>
          <w:tcPr>
            <w:tcW w:w="14151" w:type="dxa"/>
            <w:gridSpan w:val="6"/>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得分小计：</w:t>
            </w:r>
          </w:p>
        </w:tc>
      </w:tr>
      <w:tr>
        <w:tblPrEx>
          <w:tblLayout w:type="fixed"/>
          <w:tblCellMar>
            <w:top w:w="0" w:type="dxa"/>
            <w:left w:w="108" w:type="dxa"/>
            <w:bottom w:w="0" w:type="dxa"/>
            <w:right w:w="108" w:type="dxa"/>
          </w:tblCellMar>
        </w:tblPrEx>
        <w:trPr>
          <w:trHeight w:val="511"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4</w:t>
            </w:r>
          </w:p>
        </w:tc>
        <w:tc>
          <w:tcPr>
            <w:tcW w:w="13446" w:type="dxa"/>
            <w:gridSpan w:val="5"/>
            <w:tcBorders>
              <w:top w:val="nil"/>
              <w:left w:val="nil"/>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附加分（最高加10分）</w:t>
            </w:r>
          </w:p>
        </w:tc>
      </w:tr>
      <w:tr>
        <w:tblPrEx>
          <w:tblLayout w:type="fixed"/>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4.1</w:t>
            </w:r>
          </w:p>
        </w:tc>
        <w:tc>
          <w:tcPr>
            <w:tcW w:w="1361" w:type="dxa"/>
            <w:vMerge w:val="restart"/>
            <w:tcBorders>
              <w:top w:val="nil"/>
              <w:left w:val="nil"/>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国家级</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申报工程整体获得鲁班奖、国优奖等综合奖</w:t>
            </w:r>
            <w:r>
              <w:rPr>
                <w:rFonts w:hint="eastAsia" w:ascii="仿宋" w:hAnsi="仿宋" w:eastAsia="仿宋" w:cs="仿宋"/>
                <w:color w:val="auto"/>
                <w:kern w:val="0"/>
                <w:sz w:val="24"/>
                <w:szCs w:val="24"/>
                <w:lang w:eastAsia="zh-CN"/>
              </w:rPr>
              <w:t>（作为主要参建单位）</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6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4.2</w:t>
            </w:r>
          </w:p>
        </w:tc>
        <w:tc>
          <w:tcPr>
            <w:tcW w:w="1361" w:type="dxa"/>
            <w:vMerge w:val="continue"/>
            <w:tcBorders>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申报工程应用国家级（智能化方面）新技术、专利、工法</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4.3</w:t>
            </w:r>
          </w:p>
        </w:tc>
        <w:tc>
          <w:tcPr>
            <w:tcW w:w="1361" w:type="dxa"/>
            <w:vMerge w:val="restart"/>
            <w:tcBorders>
              <w:top w:val="nil"/>
              <w:left w:val="nil"/>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自治</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区级</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申报工程整体获得自治区级质量方面综合奖</w:t>
            </w:r>
            <w:r>
              <w:rPr>
                <w:rFonts w:hint="eastAsia" w:ascii="仿宋" w:hAnsi="仿宋" w:eastAsia="仿宋" w:cs="仿宋"/>
                <w:color w:val="auto"/>
                <w:kern w:val="0"/>
                <w:sz w:val="24"/>
                <w:szCs w:val="24"/>
                <w:lang w:eastAsia="zh-CN"/>
              </w:rPr>
              <w:t>（作为主要参建单位）</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8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4.4</w:t>
            </w:r>
          </w:p>
        </w:tc>
        <w:tc>
          <w:tcPr>
            <w:tcW w:w="1361" w:type="dxa"/>
            <w:vMerge w:val="continue"/>
            <w:tcBorders>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申报工程应用自治区级（智能化方面）新技术、专利、工法</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9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4.5</w:t>
            </w:r>
          </w:p>
        </w:tc>
        <w:tc>
          <w:tcPr>
            <w:tcW w:w="1361" w:type="dxa"/>
            <w:vMerge w:val="restart"/>
            <w:tcBorders>
              <w:top w:val="nil"/>
              <w:left w:val="nil"/>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盟市级</w:t>
            </w: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申报工程整体获得盟市级质量方面综合奖</w:t>
            </w:r>
            <w:r>
              <w:rPr>
                <w:rFonts w:hint="eastAsia" w:ascii="仿宋" w:hAnsi="仿宋" w:eastAsia="仿宋" w:cs="仿宋"/>
                <w:color w:val="auto"/>
                <w:kern w:val="0"/>
                <w:sz w:val="24"/>
                <w:szCs w:val="24"/>
                <w:lang w:eastAsia="zh-CN"/>
              </w:rPr>
              <w:t>（作为主要参建单位）</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35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4.6</w:t>
            </w:r>
          </w:p>
        </w:tc>
        <w:tc>
          <w:tcPr>
            <w:tcW w:w="1361" w:type="dxa"/>
            <w:vMerge w:val="continue"/>
            <w:tcBorders>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c>
          <w:tcPr>
            <w:tcW w:w="725"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0550" w:type="dxa"/>
            <w:gridSpan w:val="2"/>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申报工程应用盟市级（智能化方面）新技术、专利、工法</w:t>
            </w:r>
          </w:p>
        </w:tc>
        <w:tc>
          <w:tcPr>
            <w:tcW w:w="81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szCs w:val="24"/>
              </w:rPr>
            </w:pPr>
          </w:p>
        </w:tc>
      </w:tr>
      <w:tr>
        <w:tblPrEx>
          <w:tblLayout w:type="fixed"/>
          <w:tblCellMar>
            <w:top w:w="0" w:type="dxa"/>
            <w:left w:w="108" w:type="dxa"/>
            <w:bottom w:w="0" w:type="dxa"/>
            <w:right w:w="108" w:type="dxa"/>
          </w:tblCellMar>
        </w:tblPrEx>
        <w:trPr>
          <w:trHeight w:val="429" w:hRule="atLeast"/>
        </w:trPr>
        <w:tc>
          <w:tcPr>
            <w:tcW w:w="14151"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0"/>
                <w:sz w:val="24"/>
                <w:szCs w:val="24"/>
              </w:rPr>
            </w:pPr>
            <w:r>
              <w:rPr>
                <w:rFonts w:hint="eastAsia" w:ascii="仿宋" w:hAnsi="仿宋" w:eastAsia="仿宋" w:cs="仿宋"/>
                <w:b/>
                <w:color w:val="auto"/>
                <w:kern w:val="0"/>
                <w:sz w:val="24"/>
                <w:szCs w:val="24"/>
              </w:rPr>
              <w:t>得分小计：</w:t>
            </w:r>
          </w:p>
        </w:tc>
      </w:tr>
    </w:tbl>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填表总体说明：</w:t>
      </w:r>
    </w:p>
    <w:p>
      <w:pPr>
        <w:pStyle w:val="5"/>
        <w:widowControl/>
        <w:numPr>
          <w:ilvl w:val="0"/>
          <w:numId w:val="1"/>
        </w:numPr>
        <w:ind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各单项专家评分</w:t>
      </w:r>
      <w:r>
        <w:rPr>
          <w:rFonts w:hint="eastAsia" w:ascii="仿宋" w:hAnsi="仿宋" w:eastAsia="仿宋" w:cs="仿宋"/>
          <w:color w:val="auto"/>
          <w:kern w:val="0"/>
          <w:sz w:val="24"/>
          <w:szCs w:val="24"/>
          <w:lang w:val="en-US" w:eastAsia="zh-Hans"/>
        </w:rPr>
        <w:t>应按照实际情况进行打分</w:t>
      </w:r>
      <w:r>
        <w:rPr>
          <w:rFonts w:hint="eastAsia" w:ascii="仿宋" w:hAnsi="仿宋" w:eastAsia="仿宋" w:cs="仿宋"/>
          <w:color w:val="auto"/>
          <w:kern w:val="0"/>
          <w:sz w:val="24"/>
          <w:szCs w:val="24"/>
        </w:rPr>
        <w:t>；</w:t>
      </w:r>
    </w:p>
    <w:p>
      <w:pPr>
        <w:pStyle w:val="5"/>
        <w:widowControl/>
        <w:numPr>
          <w:ilvl w:val="0"/>
          <w:numId w:val="1"/>
        </w:numPr>
        <w:ind w:firstLineChars="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Hans"/>
        </w:rPr>
        <w:t>最后得分</w:t>
      </w:r>
      <w:r>
        <w:rPr>
          <w:rFonts w:hint="eastAsia" w:ascii="仿宋" w:hAnsi="仿宋" w:eastAsia="仿宋" w:cs="仿宋"/>
          <w:color w:val="auto"/>
          <w:kern w:val="0"/>
          <w:sz w:val="24"/>
          <w:szCs w:val="24"/>
        </w:rPr>
        <w:t>=专家评分/</w:t>
      </w:r>
      <w:r>
        <w:rPr>
          <w:rFonts w:hint="eastAsia" w:ascii="仿宋" w:hAnsi="仿宋" w:eastAsia="仿宋" w:cs="仿宋"/>
          <w:color w:val="auto"/>
          <w:kern w:val="0"/>
          <w:sz w:val="24"/>
          <w:szCs w:val="24"/>
          <w:lang w:val="en-US" w:eastAsia="zh-Hans"/>
        </w:rPr>
        <w:t>专家数</w:t>
      </w:r>
      <w:r>
        <w:rPr>
          <w:rFonts w:hint="eastAsia" w:ascii="仿宋" w:hAnsi="仿宋" w:eastAsia="仿宋" w:cs="仿宋"/>
          <w:color w:val="auto"/>
          <w:kern w:val="0"/>
          <w:sz w:val="24"/>
          <w:szCs w:val="24"/>
        </w:rPr>
        <w:t>；</w:t>
      </w:r>
    </w:p>
    <w:p>
      <w:pPr>
        <w:numPr>
          <w:ilvl w:val="0"/>
          <w:numId w:val="1"/>
        </w:numPr>
        <w:rPr>
          <w:rFonts w:ascii="宋体" w:hAnsi="宋体" w:cs="宋体"/>
          <w:color w:val="auto"/>
          <w:kern w:val="0"/>
          <w:sz w:val="22"/>
        </w:rPr>
        <w:sectPr>
          <w:pgSz w:w="16838" w:h="11906" w:orient="landscape"/>
          <w:pgMar w:top="1587" w:right="1134" w:bottom="1587" w:left="1134" w:header="851" w:footer="992" w:gutter="0"/>
          <w:pgBorders>
            <w:top w:val="none" w:sz="0" w:space="0"/>
            <w:left w:val="none" w:sz="0" w:space="0"/>
            <w:bottom w:val="none" w:sz="0" w:space="0"/>
            <w:right w:val="none" w:sz="0" w:space="0"/>
          </w:pgBorders>
          <w:pgNumType w:fmt="numberInDash"/>
          <w:cols w:space="0" w:num="1"/>
          <w:docGrid w:type="lines" w:linePitch="323" w:charSpace="0"/>
        </w:sectPr>
      </w:pPr>
      <w:r>
        <w:rPr>
          <w:rFonts w:hint="eastAsia" w:ascii="仿宋" w:hAnsi="仿宋" w:eastAsia="仿宋" w:cs="仿宋"/>
          <w:color w:val="auto"/>
          <w:kern w:val="0"/>
          <w:sz w:val="24"/>
          <w:szCs w:val="24"/>
        </w:rPr>
        <w:t>基础项评分达到60分，方能获得内蒙古自治区智能化优质工程奖评选资格。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85EB5"/>
    <w:rsid w:val="3AD8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2021-06-24T02:36:00Z</dcterms:created>
  <dc:creator>awaken the soul</dc:creator>
  <cp:lastModifiedBy>awaken the soul</cp:lastModifiedBy>
  <dcterms:modified xsi:type="dcterms:W3CDTF">2021-06-24T02:37:46Z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