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80" w:lineRule="exact"/>
        <w:textAlignment w:val="auto"/>
        <w:outlineLvl w:val="9"/>
        <w:rPr>
          <w:rFonts w:hint="eastAsia" w:ascii="宋体" w:hAnsi="宋体" w:eastAsia="宋体" w:cs="宋体"/>
          <w:b/>
          <w:bCs/>
          <w:color w:val="000000"/>
          <w:spacing w:val="-14"/>
          <w:kern w:val="0"/>
          <w:sz w:val="30"/>
          <w:szCs w:val="30"/>
          <w:lang w:val="en-US" w:eastAsia="zh-CN" w:bidi="ar-SA"/>
        </w:rPr>
      </w:pPr>
      <w:r>
        <w:rPr>
          <w:rFonts w:hint="eastAsia" w:ascii="宋体" w:hAnsi="宋体" w:eastAsia="宋体" w:cs="宋体"/>
          <w:b/>
          <w:bCs/>
          <w:color w:val="000000"/>
          <w:spacing w:val="-14"/>
          <w:kern w:val="0"/>
          <w:sz w:val="30"/>
          <w:szCs w:val="30"/>
          <w:lang w:val="en-US" w:eastAsia="zh-CN" w:bidi="ar-SA"/>
        </w:rPr>
        <w:t>附件2</w:t>
      </w:r>
    </w:p>
    <w:p>
      <w:pPr>
        <w:keepNext w:val="0"/>
        <w:keepLines w:val="0"/>
        <w:pageBreakBefore w:val="0"/>
        <w:kinsoku/>
        <w:wordWrap/>
        <w:overflowPunct/>
        <w:topLinePunct w:val="0"/>
        <w:autoSpaceDE/>
        <w:autoSpaceDN/>
        <w:bidi w:val="0"/>
        <w:adjustRightInd/>
        <w:snapToGrid/>
        <w:spacing w:line="480" w:lineRule="exact"/>
        <w:jc w:val="center"/>
        <w:textAlignment w:val="auto"/>
        <w:outlineLvl w:val="9"/>
        <w:rPr>
          <w:rFonts w:hint="eastAsia" w:ascii="宋体" w:hAnsi="宋体" w:eastAsia="宋体" w:cs="宋体"/>
          <w:b/>
          <w:bCs/>
          <w:color w:val="000000"/>
          <w:spacing w:val="-14"/>
          <w:kern w:val="0"/>
          <w:sz w:val="32"/>
          <w:szCs w:val="32"/>
          <w:lang w:val="en-US" w:eastAsia="zh-CN" w:bidi="ar-SA"/>
        </w:rPr>
      </w:pPr>
      <w:r>
        <w:rPr>
          <w:rFonts w:hint="eastAsia" w:ascii="宋体" w:hAnsi="宋体" w:eastAsia="宋体" w:cs="宋体"/>
          <w:b/>
          <w:bCs/>
          <w:color w:val="000000"/>
          <w:spacing w:val="-14"/>
          <w:kern w:val="0"/>
          <w:sz w:val="32"/>
          <w:szCs w:val="32"/>
          <w:lang w:val="en-US" w:eastAsia="zh-CN" w:bidi="ar-SA"/>
        </w:rPr>
        <w:t>讲师及课程简介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textAlignment w:val="auto"/>
        <w:outlineLvl w:val="9"/>
        <w:rPr>
          <w:rFonts w:hint="eastAsia" w:ascii="仿宋" w:hAnsi="仿宋" w:eastAsia="仿宋" w:cs="仿宋"/>
          <w:i w:val="0"/>
          <w:caps w:val="0"/>
          <w:color w:val="auto"/>
          <w:spacing w:val="0"/>
          <w:sz w:val="32"/>
          <w:szCs w:val="32"/>
          <w:lang w:eastAsia="zh-CN"/>
        </w:rPr>
      </w:pPr>
      <w:r>
        <w:rPr>
          <w:rStyle w:val="6"/>
          <w:rFonts w:hint="eastAsia" w:ascii="仿宋" w:hAnsi="仿宋" w:eastAsia="仿宋" w:cs="仿宋"/>
          <w:b/>
          <w:i w:val="0"/>
          <w:caps w:val="0"/>
          <w:color w:val="auto"/>
          <w:spacing w:val="0"/>
          <w:sz w:val="32"/>
          <w:szCs w:val="32"/>
        </w:rPr>
        <w:t>【主讲老师】</w:t>
      </w:r>
      <w:r>
        <w:rPr>
          <w:rFonts w:hint="eastAsia" w:ascii="仿宋" w:hAnsi="仿宋" w:eastAsia="仿宋" w:cs="仿宋"/>
          <w:i w:val="0"/>
          <w:caps w:val="0"/>
          <w:color w:val="auto"/>
          <w:spacing w:val="0"/>
          <w:sz w:val="32"/>
          <w:szCs w:val="32"/>
        </w:rPr>
        <w:t>莫</w:t>
      </w:r>
      <w:r>
        <w:rPr>
          <w:rFonts w:hint="eastAsia" w:ascii="仿宋" w:hAnsi="仿宋" w:eastAsia="仿宋" w:cs="仿宋"/>
          <w:i w:val="0"/>
          <w:caps w:val="0"/>
          <w:color w:val="auto"/>
          <w:spacing w:val="0"/>
          <w:sz w:val="32"/>
          <w:szCs w:val="32"/>
          <w:lang w:val="en-US" w:eastAsia="zh-CN"/>
        </w:rPr>
        <w:t>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600" w:firstLineChars="200"/>
        <w:textAlignment w:val="auto"/>
        <w:outlineLvl w:val="9"/>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sz w:val="30"/>
          <w:szCs w:val="30"/>
        </w:rPr>
        <w:t>注册税务师，国家税务总局师资人才库成员。曾多次参与税务总局相关教程的编写。长期从事税收实务教学工作，洞悉各类疑点，擅长解决企业涉税疑难问题。资深财税专家，讲课经验丰富，深受学员好评。</w:t>
      </w:r>
    </w:p>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color w:val="auto"/>
          <w:sz w:val="28"/>
          <w:szCs w:val="28"/>
        </w:rPr>
      </w:pPr>
      <w:r>
        <w:rPr>
          <w:rFonts w:hint="eastAsia" w:ascii="宋体" w:hAnsi="宋体" w:eastAsia="宋体" w:cs="宋体"/>
          <w:b/>
          <w:color w:val="auto"/>
          <w:sz w:val="28"/>
          <w:szCs w:val="28"/>
        </w:rPr>
        <w:t>【课程收益】</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 w:hAnsi="仿宋" w:eastAsia="仿宋" w:cs="仿宋"/>
          <w:i w:val="0"/>
          <w:caps w:val="0"/>
          <w:color w:val="auto"/>
          <w:spacing w:val="0"/>
          <w:kern w:val="0"/>
          <w:sz w:val="30"/>
          <w:szCs w:val="30"/>
          <w:lang w:val="en-US" w:eastAsia="zh-CN" w:bidi="ar"/>
        </w:rPr>
      </w:pPr>
      <w:r>
        <w:rPr>
          <w:rFonts w:hint="eastAsia" w:ascii="仿宋" w:hAnsi="仿宋" w:eastAsia="仿宋" w:cs="仿宋"/>
          <w:i w:val="0"/>
          <w:caps w:val="0"/>
          <w:color w:val="auto"/>
          <w:spacing w:val="0"/>
          <w:kern w:val="0"/>
          <w:sz w:val="30"/>
          <w:szCs w:val="30"/>
          <w:lang w:val="en-US" w:eastAsia="zh-CN" w:bidi="ar"/>
        </w:rPr>
        <w:t>盘点近期财税新政，</w:t>
      </w:r>
      <w:bookmarkStart w:id="0" w:name="_Hlk59121075"/>
      <w:r>
        <w:rPr>
          <w:rFonts w:hint="eastAsia" w:ascii="仿宋" w:hAnsi="仿宋" w:eastAsia="仿宋" w:cs="仿宋"/>
          <w:i w:val="0"/>
          <w:caps w:val="0"/>
          <w:color w:val="auto"/>
          <w:spacing w:val="0"/>
          <w:kern w:val="0"/>
          <w:sz w:val="30"/>
          <w:szCs w:val="30"/>
          <w:lang w:val="en-US" w:eastAsia="zh-CN" w:bidi="ar"/>
        </w:rPr>
        <w:t>解读政策内涵</w:t>
      </w:r>
      <w:bookmarkEnd w:id="0"/>
      <w:r>
        <w:rPr>
          <w:rFonts w:hint="eastAsia" w:ascii="仿宋" w:hAnsi="仿宋" w:eastAsia="仿宋" w:cs="仿宋"/>
          <w:i w:val="0"/>
          <w:caps w:val="0"/>
          <w:color w:val="auto"/>
          <w:spacing w:val="0"/>
          <w:kern w:val="0"/>
          <w:sz w:val="30"/>
          <w:szCs w:val="30"/>
          <w:lang w:val="en-US" w:eastAsia="zh-CN" w:bidi="ar"/>
        </w:rPr>
        <w:t>；</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 w:hAnsi="仿宋" w:eastAsia="仿宋" w:cs="仿宋"/>
          <w:i w:val="0"/>
          <w:caps w:val="0"/>
          <w:color w:val="auto"/>
          <w:spacing w:val="0"/>
          <w:kern w:val="0"/>
          <w:sz w:val="30"/>
          <w:szCs w:val="30"/>
          <w:lang w:val="en-US" w:eastAsia="zh-CN" w:bidi="ar"/>
        </w:rPr>
      </w:pPr>
      <w:r>
        <w:rPr>
          <w:rFonts w:hint="eastAsia" w:ascii="仿宋" w:hAnsi="仿宋" w:eastAsia="仿宋" w:cs="仿宋"/>
          <w:i w:val="0"/>
          <w:caps w:val="0"/>
          <w:color w:val="auto"/>
          <w:spacing w:val="0"/>
          <w:kern w:val="0"/>
          <w:sz w:val="30"/>
          <w:szCs w:val="30"/>
          <w:lang w:val="en-US" w:eastAsia="zh-CN" w:bidi="ar"/>
        </w:rPr>
        <w:t>解析税政处理方式，</w:t>
      </w:r>
      <w:bookmarkStart w:id="1" w:name="_Hlk59121093"/>
      <w:r>
        <w:rPr>
          <w:rFonts w:hint="eastAsia" w:ascii="仿宋" w:hAnsi="仿宋" w:eastAsia="仿宋" w:cs="仿宋"/>
          <w:i w:val="0"/>
          <w:caps w:val="0"/>
          <w:color w:val="auto"/>
          <w:spacing w:val="0"/>
          <w:kern w:val="0"/>
          <w:sz w:val="30"/>
          <w:szCs w:val="30"/>
          <w:lang w:val="en-US" w:eastAsia="zh-CN" w:bidi="ar"/>
        </w:rPr>
        <w:t>防控财税风险</w:t>
      </w:r>
      <w:bookmarkEnd w:id="1"/>
      <w:r>
        <w:rPr>
          <w:rFonts w:hint="eastAsia" w:ascii="仿宋" w:hAnsi="仿宋" w:eastAsia="仿宋" w:cs="仿宋"/>
          <w:i w:val="0"/>
          <w:caps w:val="0"/>
          <w:color w:val="auto"/>
          <w:spacing w:val="0"/>
          <w:kern w:val="0"/>
          <w:sz w:val="30"/>
          <w:szCs w:val="30"/>
          <w:lang w:val="en-US" w:eastAsia="zh-CN" w:bidi="ar"/>
        </w:rPr>
        <w:t>；</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 w:hAnsi="仿宋" w:eastAsia="仿宋" w:cs="仿宋"/>
          <w:i w:val="0"/>
          <w:caps w:val="0"/>
          <w:color w:val="auto"/>
          <w:spacing w:val="0"/>
          <w:kern w:val="0"/>
          <w:sz w:val="30"/>
          <w:szCs w:val="30"/>
          <w:lang w:val="en-US" w:eastAsia="zh-CN" w:bidi="ar"/>
        </w:rPr>
      </w:pPr>
      <w:r>
        <w:rPr>
          <w:rFonts w:hint="eastAsia" w:ascii="仿宋" w:hAnsi="仿宋" w:eastAsia="仿宋" w:cs="仿宋"/>
          <w:i w:val="0"/>
          <w:caps w:val="0"/>
          <w:color w:val="auto"/>
          <w:spacing w:val="0"/>
          <w:kern w:val="0"/>
          <w:sz w:val="30"/>
          <w:szCs w:val="30"/>
          <w:lang w:val="en-US" w:eastAsia="zh-CN" w:bidi="ar"/>
        </w:rPr>
        <w:t>确保财务数据准确，</w:t>
      </w:r>
      <w:bookmarkStart w:id="2" w:name="_Hlk59121116"/>
      <w:r>
        <w:rPr>
          <w:rFonts w:hint="eastAsia" w:ascii="仿宋" w:hAnsi="仿宋" w:eastAsia="仿宋" w:cs="仿宋"/>
          <w:i w:val="0"/>
          <w:caps w:val="0"/>
          <w:color w:val="auto"/>
          <w:spacing w:val="0"/>
          <w:kern w:val="0"/>
          <w:sz w:val="30"/>
          <w:szCs w:val="30"/>
          <w:lang w:val="en-US" w:eastAsia="zh-CN" w:bidi="ar"/>
        </w:rPr>
        <w:t>打好汇算基础</w:t>
      </w:r>
      <w:bookmarkEnd w:id="2"/>
      <w:r>
        <w:rPr>
          <w:rFonts w:hint="eastAsia" w:ascii="仿宋" w:hAnsi="仿宋" w:eastAsia="仿宋" w:cs="仿宋"/>
          <w:i w:val="0"/>
          <w:caps w:val="0"/>
          <w:color w:val="auto"/>
          <w:spacing w:val="0"/>
          <w:kern w:val="0"/>
          <w:sz w:val="30"/>
          <w:szCs w:val="30"/>
          <w:lang w:val="en-US" w:eastAsia="zh-CN" w:bidi="ar"/>
        </w:rPr>
        <w:t>；</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 w:hAnsi="仿宋" w:eastAsia="仿宋" w:cs="仿宋"/>
          <w:i w:val="0"/>
          <w:caps w:val="0"/>
          <w:color w:val="auto"/>
          <w:spacing w:val="0"/>
          <w:kern w:val="0"/>
          <w:sz w:val="32"/>
          <w:szCs w:val="32"/>
          <w:lang w:val="en-US" w:eastAsia="zh-CN" w:bidi="ar"/>
        </w:rPr>
      </w:pPr>
      <w:r>
        <w:rPr>
          <w:rFonts w:hint="eastAsia" w:ascii="仿宋" w:hAnsi="仿宋" w:eastAsia="仿宋" w:cs="仿宋"/>
          <w:i w:val="0"/>
          <w:caps w:val="0"/>
          <w:color w:val="auto"/>
          <w:spacing w:val="0"/>
          <w:kern w:val="0"/>
          <w:sz w:val="30"/>
          <w:szCs w:val="30"/>
          <w:lang w:val="en-US" w:eastAsia="zh-CN" w:bidi="ar"/>
        </w:rPr>
        <w:t>了解社保入税新规，把握税务动向</w:t>
      </w:r>
      <w:r>
        <w:rPr>
          <w:rFonts w:hint="eastAsia" w:ascii="仿宋" w:hAnsi="仿宋" w:eastAsia="仿宋" w:cs="仿宋"/>
          <w:i w:val="0"/>
          <w:caps w:val="0"/>
          <w:color w:val="auto"/>
          <w:spacing w:val="0"/>
          <w:kern w:val="0"/>
          <w:sz w:val="32"/>
          <w:szCs w:val="32"/>
          <w:lang w:val="en-US" w:eastAsia="zh-CN" w:bidi="ar"/>
        </w:rPr>
        <w:t>。</w:t>
      </w:r>
    </w:p>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bCs w:val="0"/>
          <w:color w:val="auto"/>
          <w:sz w:val="28"/>
          <w:szCs w:val="28"/>
        </w:rPr>
      </w:pPr>
      <w:r>
        <w:rPr>
          <w:rFonts w:hint="eastAsia" w:ascii="宋体" w:hAnsi="宋体" w:eastAsia="宋体" w:cs="宋体"/>
          <w:b/>
          <w:bCs w:val="0"/>
          <w:color w:val="auto"/>
          <w:sz w:val="28"/>
          <w:szCs w:val="28"/>
        </w:rPr>
        <w:t>【课程背景】</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 w:hAnsi="仿宋" w:eastAsia="仿宋" w:cs="仿宋"/>
          <w:i w:val="0"/>
          <w:caps w:val="0"/>
          <w:color w:val="auto"/>
          <w:spacing w:val="0"/>
          <w:kern w:val="0"/>
          <w:sz w:val="30"/>
          <w:szCs w:val="30"/>
          <w:lang w:val="en-US" w:eastAsia="zh-CN" w:bidi="ar"/>
        </w:rPr>
      </w:pPr>
      <w:r>
        <w:rPr>
          <w:rFonts w:hint="eastAsia" w:ascii="仿宋" w:hAnsi="仿宋" w:eastAsia="仿宋" w:cs="仿宋"/>
          <w:i w:val="0"/>
          <w:caps w:val="0"/>
          <w:color w:val="auto"/>
          <w:spacing w:val="0"/>
          <w:kern w:val="0"/>
          <w:sz w:val="30"/>
          <w:szCs w:val="30"/>
          <w:lang w:val="en-US" w:eastAsia="zh-CN" w:bidi="ar"/>
        </w:rPr>
        <w:t>2021年新的减税降费政策您了解吗？——3月5日李克强总理作的《政府工作报告》又有新的减税降费政策了。</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 w:hAnsi="仿宋" w:eastAsia="仿宋" w:cs="仿宋"/>
          <w:i w:val="0"/>
          <w:caps w:val="0"/>
          <w:color w:val="auto"/>
          <w:spacing w:val="0"/>
          <w:kern w:val="0"/>
          <w:sz w:val="30"/>
          <w:szCs w:val="30"/>
          <w:lang w:val="en-US" w:eastAsia="zh-CN" w:bidi="ar"/>
        </w:rPr>
      </w:pPr>
      <w:r>
        <w:rPr>
          <w:rFonts w:hint="eastAsia" w:ascii="仿宋" w:hAnsi="仿宋" w:eastAsia="仿宋" w:cs="仿宋"/>
          <w:i w:val="0"/>
          <w:caps w:val="0"/>
          <w:color w:val="auto"/>
          <w:spacing w:val="0"/>
          <w:kern w:val="0"/>
          <w:sz w:val="30"/>
          <w:szCs w:val="30"/>
          <w:lang w:val="en-US" w:eastAsia="zh-CN" w:bidi="ar"/>
        </w:rPr>
        <w:t>您知道吗？年度、季度企业所得税申报表又改了——《国家税务总局关于修订企业所得税年度纳税申报表的公告》（国家税务总局公告2020年第24号）、国家税务总局关于发布《中华人民共和国企业所得税月（季）度预缴纳税申报表（A类）》的公告（国家税务总局公告2021年第3号）。</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 w:hAnsi="仿宋" w:eastAsia="仿宋" w:cs="仿宋"/>
          <w:i w:val="0"/>
          <w:caps w:val="0"/>
          <w:color w:val="auto"/>
          <w:spacing w:val="0"/>
          <w:kern w:val="0"/>
          <w:sz w:val="30"/>
          <w:szCs w:val="30"/>
          <w:lang w:val="en-US" w:eastAsia="zh-CN" w:bidi="ar"/>
        </w:rPr>
      </w:pPr>
      <w:r>
        <w:rPr>
          <w:rFonts w:hint="eastAsia" w:ascii="仿宋" w:hAnsi="仿宋" w:eastAsia="仿宋" w:cs="仿宋"/>
          <w:i w:val="0"/>
          <w:caps w:val="0"/>
          <w:color w:val="auto"/>
          <w:spacing w:val="0"/>
          <w:kern w:val="0"/>
          <w:sz w:val="30"/>
          <w:szCs w:val="30"/>
          <w:lang w:val="en-US" w:eastAsia="zh-CN" w:bidi="ar"/>
        </w:rPr>
        <w:t>这些个人所得税新政你了解吗？——《关于进一步简便优化部分纳税人个人所得税预扣预缴方法的公告》（国家税务总局公告2020年第19号）、《国家税务总局关于办理2020年度个人所得税综合所得汇算清缴事项的公告》（国家税务总局公告2021年第2号）。</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 w:hAnsi="仿宋" w:eastAsia="仿宋" w:cs="仿宋"/>
          <w:i w:val="0"/>
          <w:caps w:val="0"/>
          <w:color w:val="auto"/>
          <w:spacing w:val="0"/>
          <w:kern w:val="0"/>
          <w:sz w:val="30"/>
          <w:szCs w:val="30"/>
          <w:lang w:val="en-US" w:eastAsia="zh-CN" w:bidi="ar"/>
        </w:rPr>
      </w:pPr>
      <w:r>
        <w:rPr>
          <w:rFonts w:hint="eastAsia" w:ascii="仿宋" w:hAnsi="仿宋" w:eastAsia="仿宋" w:cs="仿宋"/>
          <w:i w:val="0"/>
          <w:caps w:val="0"/>
          <w:color w:val="auto"/>
          <w:spacing w:val="0"/>
          <w:kern w:val="0"/>
          <w:sz w:val="30"/>
          <w:szCs w:val="30"/>
          <w:lang w:val="en-US" w:eastAsia="zh-CN" w:bidi="ar"/>
        </w:rPr>
        <w:t>随着金三系统的不断升级，金四系统也必将落地。在放管服不断深化的道路上，一波波新举措也随之悄然来袭。2021年各项最新实施或者出台的新政，都让税务处理规则不断的发生着变化。本次课程将带您回顾我们一同走过的2020，梳理2021年建筑业两会新政、汇算清缴、社保入税和主要风险应对。解读政策，明确业务，理出头绪，保证2021年顺利开局。在2021年的关键时间节点，至关重要的工作就是对企业一年来的账务，数据表间逻辑风险防控等工作进行重点政策实施应用的盘点。确保账内数据无误，表间关系合理，做好财税风险防控，为企业所得税、个人所得税汇算清缴工作打下坚实的基础。</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 w:hAnsi="仿宋" w:eastAsia="仿宋" w:cs="仿宋"/>
          <w:i w:val="0"/>
          <w:caps w:val="0"/>
          <w:color w:val="auto"/>
          <w:spacing w:val="0"/>
          <w:kern w:val="0"/>
          <w:sz w:val="30"/>
          <w:szCs w:val="30"/>
          <w:lang w:val="en-US" w:eastAsia="zh-CN" w:bidi="ar"/>
        </w:rPr>
      </w:pPr>
      <w:r>
        <w:rPr>
          <w:rFonts w:hint="eastAsia" w:ascii="仿宋" w:hAnsi="仿宋" w:eastAsia="仿宋" w:cs="仿宋"/>
          <w:i w:val="0"/>
          <w:caps w:val="0"/>
          <w:color w:val="auto"/>
          <w:spacing w:val="0"/>
          <w:kern w:val="0"/>
          <w:sz w:val="30"/>
          <w:szCs w:val="30"/>
          <w:lang w:val="en-US" w:eastAsia="zh-CN" w:bidi="ar"/>
        </w:rPr>
        <w:t>本课程特邀财税政策研究专家，为您解读最新财税政策。让您对税政变化了如指掌，合理有效控制企业税负、守住财富！</w:t>
      </w:r>
    </w:p>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rPr>
        <w:t>【课程亮点】</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 w:hAnsi="仿宋" w:eastAsia="仿宋" w:cs="仿宋"/>
          <w:i w:val="0"/>
          <w:caps w:val="0"/>
          <w:color w:val="auto"/>
          <w:spacing w:val="0"/>
          <w:kern w:val="0"/>
          <w:sz w:val="30"/>
          <w:szCs w:val="30"/>
          <w:lang w:val="en-US" w:eastAsia="zh-CN" w:bidi="ar"/>
        </w:rPr>
      </w:pPr>
      <w:r>
        <w:rPr>
          <w:rFonts w:hint="eastAsia" w:ascii="仿宋" w:hAnsi="仿宋" w:eastAsia="仿宋" w:cs="仿宋"/>
          <w:i w:val="0"/>
          <w:caps w:val="0"/>
          <w:color w:val="auto"/>
          <w:spacing w:val="0"/>
          <w:kern w:val="0"/>
          <w:sz w:val="30"/>
          <w:szCs w:val="30"/>
          <w:lang w:val="en-US" w:eastAsia="zh-CN" w:bidi="ar"/>
        </w:rPr>
        <w:t>1、帮您了解最新征管环境、征管手段及财税规划；</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 w:hAnsi="仿宋" w:eastAsia="仿宋" w:cs="仿宋"/>
          <w:i w:val="0"/>
          <w:caps w:val="0"/>
          <w:color w:val="auto"/>
          <w:spacing w:val="0"/>
          <w:kern w:val="0"/>
          <w:sz w:val="30"/>
          <w:szCs w:val="30"/>
          <w:lang w:val="en-US" w:eastAsia="zh-CN" w:bidi="ar"/>
        </w:rPr>
      </w:pPr>
      <w:r>
        <w:rPr>
          <w:rFonts w:hint="eastAsia" w:ascii="仿宋" w:hAnsi="仿宋" w:eastAsia="仿宋" w:cs="仿宋"/>
          <w:i w:val="0"/>
          <w:caps w:val="0"/>
          <w:color w:val="auto"/>
          <w:spacing w:val="0"/>
          <w:kern w:val="0"/>
          <w:sz w:val="30"/>
          <w:szCs w:val="30"/>
          <w:lang w:val="en-US" w:eastAsia="zh-CN" w:bidi="ar"/>
        </w:rPr>
        <w:t>2、助您了解最新税收政策给企业带来的影响；</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 w:hAnsi="仿宋" w:eastAsia="仿宋" w:cs="仿宋"/>
          <w:i w:val="0"/>
          <w:caps w:val="0"/>
          <w:color w:val="auto"/>
          <w:spacing w:val="0"/>
          <w:kern w:val="0"/>
          <w:sz w:val="30"/>
          <w:szCs w:val="30"/>
          <w:lang w:val="en-US" w:eastAsia="zh-CN" w:bidi="ar"/>
        </w:rPr>
      </w:pPr>
      <w:r>
        <w:rPr>
          <w:rFonts w:hint="eastAsia" w:ascii="仿宋" w:hAnsi="仿宋" w:eastAsia="仿宋" w:cs="仿宋"/>
          <w:i w:val="0"/>
          <w:caps w:val="0"/>
          <w:color w:val="auto"/>
          <w:spacing w:val="0"/>
          <w:kern w:val="0"/>
          <w:sz w:val="30"/>
          <w:szCs w:val="30"/>
          <w:lang w:val="en-US" w:eastAsia="zh-CN" w:bidi="ar"/>
        </w:rPr>
        <w:t>3、让您掌握税收风险控制的方法；</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 w:hAnsi="仿宋" w:eastAsia="仿宋" w:cs="仿宋"/>
          <w:i w:val="0"/>
          <w:caps w:val="0"/>
          <w:color w:val="auto"/>
          <w:spacing w:val="0"/>
          <w:kern w:val="0"/>
          <w:sz w:val="30"/>
          <w:szCs w:val="30"/>
          <w:lang w:val="en-US" w:eastAsia="zh-CN" w:bidi="ar"/>
        </w:rPr>
      </w:pPr>
      <w:r>
        <w:rPr>
          <w:rFonts w:hint="eastAsia" w:ascii="仿宋" w:hAnsi="仿宋" w:eastAsia="仿宋" w:cs="仿宋"/>
          <w:i w:val="0"/>
          <w:caps w:val="0"/>
          <w:color w:val="auto"/>
          <w:spacing w:val="0"/>
          <w:kern w:val="0"/>
          <w:sz w:val="30"/>
          <w:szCs w:val="30"/>
          <w:lang w:val="en-US" w:eastAsia="zh-CN" w:bidi="ar"/>
        </w:rPr>
        <w:t>4、让您掌握财税合规调整技巧；</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 w:hAnsi="仿宋" w:eastAsia="仿宋" w:cs="仿宋"/>
          <w:i w:val="0"/>
          <w:caps w:val="0"/>
          <w:color w:val="auto"/>
          <w:spacing w:val="0"/>
          <w:kern w:val="0"/>
          <w:sz w:val="30"/>
          <w:szCs w:val="30"/>
          <w:lang w:val="en-US" w:eastAsia="zh-CN" w:bidi="ar"/>
        </w:rPr>
      </w:pPr>
      <w:r>
        <w:rPr>
          <w:rFonts w:hint="eastAsia" w:ascii="仿宋" w:hAnsi="仿宋" w:eastAsia="仿宋" w:cs="仿宋"/>
          <w:i w:val="0"/>
          <w:caps w:val="0"/>
          <w:color w:val="auto"/>
          <w:spacing w:val="0"/>
          <w:kern w:val="0"/>
          <w:sz w:val="30"/>
          <w:szCs w:val="30"/>
          <w:lang w:val="en-US" w:eastAsia="zh-CN" w:bidi="ar"/>
        </w:rPr>
        <w:t>5、现场回答您关心和担心的热点问题。</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 w:hAnsi="仿宋" w:eastAsia="仿宋" w:cs="仿宋"/>
          <w:i w:val="0"/>
          <w:caps w:val="0"/>
          <w:color w:val="auto"/>
          <w:spacing w:val="0"/>
          <w:kern w:val="0"/>
          <w:sz w:val="30"/>
          <w:szCs w:val="30"/>
          <w:lang w:val="en-US" w:eastAsia="zh-CN" w:bidi="ar"/>
        </w:rPr>
      </w:pP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i w:val="0"/>
          <w:caps w:val="0"/>
          <w:color w:val="auto"/>
          <w:spacing w:val="0"/>
          <w:kern w:val="0"/>
          <w:sz w:val="30"/>
          <w:szCs w:val="30"/>
          <w:lang w:val="en-US" w:eastAsia="zh-CN" w:bidi="ar"/>
        </w:rPr>
      </w:pPr>
    </w:p>
    <w:p>
      <w:pPr>
        <w:keepNext w:val="0"/>
        <w:keepLines w:val="0"/>
        <w:pageBreakBefore w:val="0"/>
        <w:numPr>
          <w:ilvl w:val="0"/>
          <w:numId w:val="0"/>
        </w:numPr>
        <w:kinsoku/>
        <w:wordWrap/>
        <w:overflowPunct/>
        <w:topLinePunct w:val="0"/>
        <w:autoSpaceDE/>
        <w:autoSpaceDN/>
        <w:bidi w:val="0"/>
        <w:spacing w:line="360" w:lineRule="auto"/>
        <w:textAlignment w:val="auto"/>
        <w:rPr>
          <w:rFonts w:hint="eastAsia" w:ascii="宋体" w:hAnsi="宋体" w:eastAsia="宋体" w:cs="宋体"/>
          <w:b/>
          <w:bCs w:val="0"/>
          <w:color w:val="auto"/>
          <w:sz w:val="28"/>
          <w:szCs w:val="28"/>
        </w:rPr>
      </w:pPr>
    </w:p>
    <w:p>
      <w:pPr>
        <w:keepNext w:val="0"/>
        <w:keepLines w:val="0"/>
        <w:pageBreakBefore w:val="0"/>
        <w:numPr>
          <w:ilvl w:val="0"/>
          <w:numId w:val="0"/>
        </w:numPr>
        <w:kinsoku/>
        <w:wordWrap/>
        <w:overflowPunct/>
        <w:topLinePunct w:val="0"/>
        <w:autoSpaceDE/>
        <w:autoSpaceDN/>
        <w:bidi w:val="0"/>
        <w:spacing w:line="360" w:lineRule="auto"/>
        <w:textAlignment w:val="auto"/>
        <w:rPr>
          <w:rFonts w:hint="eastAsia" w:ascii="宋体" w:hAnsi="宋体" w:eastAsia="宋体" w:cs="宋体"/>
          <w:b/>
          <w:bCs w:val="0"/>
          <w:color w:val="FF0000"/>
          <w:sz w:val="28"/>
          <w:szCs w:val="28"/>
        </w:rPr>
      </w:pPr>
      <w:r>
        <w:rPr>
          <w:rFonts w:hint="eastAsia" w:ascii="宋体" w:hAnsi="宋体" w:eastAsia="宋体" w:cs="宋体"/>
          <w:b/>
          <w:bCs w:val="0"/>
          <w:color w:val="auto"/>
          <w:sz w:val="28"/>
          <w:szCs w:val="28"/>
        </w:rPr>
        <w:t>【课程大纲】</w:t>
      </w:r>
    </w:p>
    <w:p>
      <w:pPr>
        <w:keepNext w:val="0"/>
        <w:keepLines w:val="0"/>
        <w:pageBreakBefore w:val="0"/>
        <w:numPr>
          <w:ilvl w:val="0"/>
          <w:numId w:val="0"/>
        </w:numPr>
        <w:kinsoku/>
        <w:wordWrap/>
        <w:overflowPunct/>
        <w:topLinePunct w:val="0"/>
        <w:autoSpaceDE/>
        <w:autoSpaceDN/>
        <w:bidi w:val="0"/>
        <w:spacing w:line="360" w:lineRule="auto"/>
        <w:ind w:left="-360" w:leftChars="0"/>
        <w:jc w:val="center"/>
        <w:textAlignment w:val="auto"/>
        <w:rPr>
          <w:rFonts w:hint="eastAsia" w:ascii="宋体" w:hAnsi="宋体" w:eastAsia="宋体" w:cs="宋体"/>
          <w:b/>
          <w:bCs w:val="0"/>
          <w:sz w:val="28"/>
          <w:szCs w:val="28"/>
          <w:lang w:val="en-US" w:eastAsia="zh-CN"/>
        </w:rPr>
      </w:pPr>
      <w:r>
        <w:rPr>
          <w:rFonts w:hint="eastAsia" w:ascii="宋体" w:hAnsi="宋体" w:eastAsia="宋体" w:cs="宋体"/>
          <w:b/>
          <w:bCs w:val="0"/>
          <w:sz w:val="32"/>
          <w:szCs w:val="32"/>
        </w:rPr>
        <w:t xml:space="preserve">第一部分  </w:t>
      </w:r>
      <w:r>
        <w:rPr>
          <w:rFonts w:hint="eastAsia" w:ascii="宋体" w:hAnsi="宋体" w:eastAsia="宋体" w:cs="宋体"/>
          <w:b/>
          <w:bCs w:val="0"/>
          <w:sz w:val="32"/>
          <w:szCs w:val="32"/>
          <w:lang w:val="en-US" w:eastAsia="zh-CN"/>
        </w:rPr>
        <w:t>两会新政</w:t>
      </w:r>
    </w:p>
    <w:p>
      <w:pPr>
        <w:keepNext w:val="0"/>
        <w:keepLines w:val="0"/>
        <w:pageBreakBefore w:val="0"/>
        <w:widowControl w:val="0"/>
        <w:numPr>
          <w:ilvl w:val="0"/>
          <w:numId w:val="2"/>
        </w:numPr>
        <w:kinsoku/>
        <w:wordWrap/>
        <w:overflowPunct/>
        <w:topLinePunct w:val="0"/>
        <w:autoSpaceDE/>
        <w:autoSpaceDN/>
        <w:bidi w:val="0"/>
        <w:spacing w:line="360" w:lineRule="auto"/>
        <w:ind w:left="642" w:leftChars="0" w:firstLine="0" w:firstLineChars="0"/>
        <w:jc w:val="both"/>
        <w:textAlignment w:val="auto"/>
        <w:rPr>
          <w:rFonts w:hint="eastAsia" w:ascii="宋体" w:hAnsi="宋体" w:eastAsia="宋体" w:cs="宋体"/>
          <w:b/>
          <w:bCs w:val="0"/>
          <w:sz w:val="32"/>
          <w:szCs w:val="32"/>
          <w:lang w:val="en-US" w:eastAsia="zh-CN"/>
        </w:rPr>
      </w:pPr>
      <w:r>
        <w:rPr>
          <w:rFonts w:hint="eastAsia" w:ascii="宋体" w:hAnsi="宋体" w:eastAsia="宋体" w:cs="宋体"/>
          <w:b/>
          <w:bCs w:val="0"/>
          <w:sz w:val="32"/>
          <w:szCs w:val="32"/>
          <w:lang w:val="en-US" w:eastAsia="zh-CN"/>
        </w:rPr>
        <w:t>税收部分</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 w:hAnsi="仿宋" w:eastAsia="仿宋" w:cs="仿宋"/>
          <w:i w:val="0"/>
          <w:caps w:val="0"/>
          <w:color w:val="auto"/>
          <w:spacing w:val="0"/>
          <w:kern w:val="0"/>
          <w:sz w:val="30"/>
          <w:szCs w:val="30"/>
          <w:lang w:val="en-US" w:eastAsia="zh-CN" w:bidi="ar"/>
        </w:rPr>
      </w:pPr>
      <w:r>
        <w:rPr>
          <w:rFonts w:hint="eastAsia" w:ascii="仿宋" w:hAnsi="仿宋" w:eastAsia="仿宋" w:cs="仿宋"/>
          <w:i w:val="0"/>
          <w:caps w:val="0"/>
          <w:color w:val="auto"/>
          <w:spacing w:val="0"/>
          <w:kern w:val="0"/>
          <w:sz w:val="30"/>
          <w:szCs w:val="30"/>
          <w:lang w:val="en-US" w:eastAsia="zh-CN" w:bidi="ar"/>
        </w:rPr>
        <w:t>1、继续执行制度性减税政策，延长小规模纳税人增值税优惠等部分阶段性政策执行期限。</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 w:hAnsi="仿宋" w:eastAsia="仿宋" w:cs="仿宋"/>
          <w:i w:val="0"/>
          <w:caps w:val="0"/>
          <w:color w:val="auto"/>
          <w:spacing w:val="0"/>
          <w:kern w:val="0"/>
          <w:sz w:val="30"/>
          <w:szCs w:val="30"/>
          <w:lang w:val="en-US" w:eastAsia="zh-CN" w:bidi="ar"/>
        </w:rPr>
      </w:pPr>
      <w:r>
        <w:rPr>
          <w:rFonts w:hint="eastAsia" w:ascii="仿宋" w:hAnsi="仿宋" w:eastAsia="仿宋" w:cs="仿宋"/>
          <w:i w:val="0"/>
          <w:caps w:val="0"/>
          <w:color w:val="auto"/>
          <w:spacing w:val="0"/>
          <w:kern w:val="0"/>
          <w:sz w:val="30"/>
          <w:szCs w:val="30"/>
          <w:lang w:val="en-US" w:eastAsia="zh-CN" w:bidi="ar"/>
        </w:rPr>
        <w:t>2、将小规模纳税人增值税起征点从月销售额10万元提高到15万元。对小微企业和个体工商户年应纳税所得额不到100万元的部分，在现行优惠政策基础上，再减半征收所得税。（注：19年小规模纳税人增值税起征点从月销售额3万元提高到10万元）</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 w:hAnsi="仿宋" w:eastAsia="仿宋" w:cs="仿宋"/>
          <w:i w:val="0"/>
          <w:caps w:val="0"/>
          <w:color w:val="auto"/>
          <w:spacing w:val="0"/>
          <w:kern w:val="0"/>
          <w:sz w:val="30"/>
          <w:szCs w:val="30"/>
          <w:lang w:val="en-US" w:eastAsia="zh-CN" w:bidi="ar"/>
        </w:rPr>
      </w:pPr>
      <w:r>
        <w:rPr>
          <w:rFonts w:hint="eastAsia" w:ascii="仿宋" w:hAnsi="仿宋" w:eastAsia="仿宋" w:cs="仿宋"/>
          <w:i w:val="0"/>
          <w:caps w:val="0"/>
          <w:color w:val="auto"/>
          <w:spacing w:val="0"/>
          <w:kern w:val="0"/>
          <w:sz w:val="30"/>
          <w:szCs w:val="30"/>
          <w:lang w:val="en-US" w:eastAsia="zh-CN" w:bidi="ar"/>
        </w:rPr>
        <w:t>3、对不裁员少裁员的企业，继续给予必要的财税、金融等政策支持。</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 w:hAnsi="仿宋" w:eastAsia="仿宋" w:cs="仿宋"/>
          <w:i w:val="0"/>
          <w:caps w:val="0"/>
          <w:color w:val="auto"/>
          <w:spacing w:val="0"/>
          <w:kern w:val="0"/>
          <w:sz w:val="30"/>
          <w:szCs w:val="30"/>
          <w:lang w:val="en-US" w:eastAsia="zh-CN" w:bidi="ar"/>
        </w:rPr>
      </w:pPr>
      <w:r>
        <w:rPr>
          <w:rFonts w:hint="eastAsia" w:ascii="仿宋" w:hAnsi="仿宋" w:eastAsia="仿宋" w:cs="仿宋"/>
          <w:i w:val="0"/>
          <w:caps w:val="0"/>
          <w:color w:val="auto"/>
          <w:spacing w:val="0"/>
          <w:kern w:val="0"/>
          <w:sz w:val="30"/>
          <w:szCs w:val="30"/>
          <w:lang w:val="en-US" w:eastAsia="zh-CN" w:bidi="ar"/>
        </w:rPr>
        <w:t>4、精简享受税费优惠政策的办理流程和手续。</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 w:hAnsi="仿宋" w:eastAsia="仿宋" w:cs="仿宋"/>
          <w:i w:val="0"/>
          <w:caps w:val="0"/>
          <w:color w:val="auto"/>
          <w:spacing w:val="0"/>
          <w:kern w:val="0"/>
          <w:sz w:val="30"/>
          <w:szCs w:val="30"/>
          <w:lang w:val="en-US" w:eastAsia="zh-CN" w:bidi="ar"/>
        </w:rPr>
      </w:pPr>
      <w:r>
        <w:rPr>
          <w:rFonts w:hint="eastAsia" w:ascii="仿宋" w:hAnsi="仿宋" w:eastAsia="仿宋" w:cs="仿宋"/>
          <w:i w:val="0"/>
          <w:caps w:val="0"/>
          <w:color w:val="auto"/>
          <w:spacing w:val="0"/>
          <w:kern w:val="0"/>
          <w:sz w:val="30"/>
          <w:szCs w:val="30"/>
          <w:lang w:val="en-US" w:eastAsia="zh-CN" w:bidi="ar"/>
        </w:rPr>
        <w:t>5、延续执行企业研发费用加计扣除75%政策，将制造业企 业加计扣除比例提高到100%。</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 w:hAnsi="仿宋" w:eastAsia="仿宋" w:cs="仿宋"/>
          <w:i w:val="0"/>
          <w:caps w:val="0"/>
          <w:color w:val="auto"/>
          <w:spacing w:val="0"/>
          <w:kern w:val="0"/>
          <w:sz w:val="30"/>
          <w:szCs w:val="30"/>
          <w:lang w:val="en-US" w:eastAsia="zh-CN" w:bidi="ar"/>
        </w:rPr>
      </w:pPr>
      <w:r>
        <w:rPr>
          <w:rFonts w:hint="eastAsia" w:ascii="仿宋" w:hAnsi="仿宋" w:eastAsia="仿宋" w:cs="仿宋"/>
          <w:i w:val="0"/>
          <w:caps w:val="0"/>
          <w:color w:val="auto"/>
          <w:spacing w:val="0"/>
          <w:kern w:val="0"/>
          <w:sz w:val="30"/>
          <w:szCs w:val="30"/>
          <w:lang w:val="en-US" w:eastAsia="zh-CN" w:bidi="ar"/>
        </w:rPr>
        <w:t>6、对先进制造业企业按月全额退还增值税增量留抵税额。</w:t>
      </w:r>
    </w:p>
    <w:p>
      <w:pPr>
        <w:keepNext w:val="0"/>
        <w:keepLines w:val="0"/>
        <w:pageBreakBefore w:val="0"/>
        <w:widowControl w:val="0"/>
        <w:numPr>
          <w:ilvl w:val="0"/>
          <w:numId w:val="2"/>
        </w:numPr>
        <w:kinsoku/>
        <w:wordWrap/>
        <w:overflowPunct/>
        <w:topLinePunct w:val="0"/>
        <w:autoSpaceDE/>
        <w:autoSpaceDN/>
        <w:bidi w:val="0"/>
        <w:spacing w:line="360" w:lineRule="auto"/>
        <w:ind w:left="642" w:leftChars="0" w:firstLine="0" w:firstLineChars="0"/>
        <w:jc w:val="both"/>
        <w:textAlignment w:val="auto"/>
        <w:rPr>
          <w:rFonts w:hint="eastAsia" w:ascii="宋体" w:hAnsi="宋体" w:eastAsia="宋体" w:cs="宋体"/>
          <w:b/>
          <w:bCs w:val="0"/>
          <w:sz w:val="32"/>
          <w:szCs w:val="32"/>
          <w:lang w:val="en-US" w:eastAsia="zh-CN"/>
        </w:rPr>
      </w:pPr>
      <w:r>
        <w:rPr>
          <w:rFonts w:hint="eastAsia" w:ascii="宋体" w:hAnsi="宋体" w:eastAsia="宋体" w:cs="宋体"/>
          <w:b/>
          <w:bCs w:val="0"/>
          <w:sz w:val="32"/>
          <w:szCs w:val="32"/>
          <w:lang w:val="en-US" w:eastAsia="zh-CN"/>
        </w:rPr>
        <w:t>社保部分</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 w:hAnsi="仿宋" w:eastAsia="仿宋" w:cs="仿宋"/>
          <w:i w:val="0"/>
          <w:caps w:val="0"/>
          <w:color w:val="auto"/>
          <w:spacing w:val="0"/>
          <w:kern w:val="0"/>
          <w:sz w:val="30"/>
          <w:szCs w:val="30"/>
          <w:lang w:val="en-US" w:eastAsia="zh-CN" w:bidi="ar"/>
        </w:rPr>
      </w:pPr>
      <w:r>
        <w:rPr>
          <w:rFonts w:hint="eastAsia" w:ascii="仿宋" w:hAnsi="仿宋" w:eastAsia="仿宋" w:cs="仿宋"/>
          <w:i w:val="0"/>
          <w:caps w:val="0"/>
          <w:color w:val="auto"/>
          <w:spacing w:val="0"/>
          <w:kern w:val="0"/>
          <w:sz w:val="30"/>
          <w:szCs w:val="30"/>
          <w:lang w:val="en-US" w:eastAsia="zh-CN" w:bidi="ar"/>
        </w:rPr>
        <w:t>1、继续降低失业和工伤保险费率，扩大失业保险返还等阶段性稳岗政策惠及范围，</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 w:hAnsi="仿宋" w:eastAsia="仿宋" w:cs="仿宋"/>
          <w:i w:val="0"/>
          <w:caps w:val="0"/>
          <w:color w:val="auto"/>
          <w:spacing w:val="0"/>
          <w:kern w:val="0"/>
          <w:sz w:val="30"/>
          <w:szCs w:val="30"/>
          <w:lang w:val="en-US" w:eastAsia="zh-CN" w:bidi="ar"/>
        </w:rPr>
      </w:pPr>
      <w:r>
        <w:rPr>
          <w:rFonts w:hint="eastAsia" w:ascii="仿宋" w:hAnsi="仿宋" w:eastAsia="仿宋" w:cs="仿宋"/>
          <w:i w:val="0"/>
          <w:caps w:val="0"/>
          <w:color w:val="auto"/>
          <w:spacing w:val="0"/>
          <w:kern w:val="0"/>
          <w:sz w:val="30"/>
          <w:szCs w:val="30"/>
          <w:lang w:val="en-US" w:eastAsia="zh-CN" w:bidi="ar"/>
        </w:rPr>
        <w:t>2、提高退休人员基本养老金、优抚对象抚恤和生活补助标准。</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 w:hAnsi="仿宋" w:eastAsia="仿宋" w:cs="仿宋"/>
          <w:i w:val="0"/>
          <w:caps w:val="0"/>
          <w:color w:val="auto"/>
          <w:spacing w:val="0"/>
          <w:kern w:val="0"/>
          <w:sz w:val="30"/>
          <w:szCs w:val="30"/>
          <w:lang w:val="en-US" w:eastAsia="zh-CN" w:bidi="ar"/>
        </w:rPr>
      </w:pPr>
      <w:r>
        <w:rPr>
          <w:rFonts w:hint="eastAsia" w:ascii="仿宋" w:hAnsi="仿宋" w:eastAsia="仿宋" w:cs="仿宋"/>
          <w:i w:val="0"/>
          <w:caps w:val="0"/>
          <w:color w:val="auto"/>
          <w:spacing w:val="0"/>
          <w:kern w:val="0"/>
          <w:sz w:val="30"/>
          <w:szCs w:val="30"/>
          <w:lang w:val="en-US" w:eastAsia="zh-CN" w:bidi="ar"/>
        </w:rPr>
        <w:t>3、推进养老保险全国统筹，规范发展第三支柱养老保险。</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 w:hAnsi="仿宋" w:eastAsia="仿宋" w:cs="仿宋"/>
          <w:i w:val="0"/>
          <w:caps w:val="0"/>
          <w:color w:val="auto"/>
          <w:spacing w:val="0"/>
          <w:kern w:val="0"/>
          <w:sz w:val="30"/>
          <w:szCs w:val="30"/>
          <w:lang w:val="en-US" w:eastAsia="zh-CN" w:bidi="ar"/>
        </w:rPr>
      </w:pPr>
      <w:r>
        <w:rPr>
          <w:rFonts w:hint="eastAsia" w:ascii="仿宋" w:hAnsi="仿宋" w:eastAsia="仿宋" w:cs="仿宋"/>
          <w:i w:val="0"/>
          <w:caps w:val="0"/>
          <w:color w:val="auto"/>
          <w:spacing w:val="0"/>
          <w:kern w:val="0"/>
          <w:sz w:val="30"/>
          <w:szCs w:val="30"/>
          <w:lang w:val="en-US" w:eastAsia="zh-CN" w:bidi="ar"/>
        </w:rPr>
        <w:t>4、完善全国统一的社会保险公共服务平台。</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 w:hAnsi="仿宋" w:eastAsia="仿宋" w:cs="仿宋"/>
          <w:i w:val="0"/>
          <w:caps w:val="0"/>
          <w:color w:val="auto"/>
          <w:spacing w:val="0"/>
          <w:kern w:val="0"/>
          <w:sz w:val="30"/>
          <w:szCs w:val="30"/>
          <w:lang w:val="en-US" w:eastAsia="zh-CN" w:bidi="ar"/>
        </w:rPr>
      </w:pPr>
      <w:r>
        <w:rPr>
          <w:rFonts w:hint="eastAsia" w:ascii="仿宋" w:hAnsi="仿宋" w:eastAsia="仿宋" w:cs="仿宋"/>
          <w:i w:val="0"/>
          <w:caps w:val="0"/>
          <w:color w:val="auto"/>
          <w:spacing w:val="0"/>
          <w:kern w:val="0"/>
          <w:sz w:val="30"/>
          <w:szCs w:val="30"/>
          <w:lang w:val="en-US" w:eastAsia="zh-CN" w:bidi="ar"/>
        </w:rPr>
        <w:t>5、加强军人军属、退役军人和其他优抚对象优待工作，健全退役军人工作体系和保障制度。</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 w:hAnsi="仿宋" w:eastAsia="仿宋" w:cs="仿宋"/>
          <w:i w:val="0"/>
          <w:caps w:val="0"/>
          <w:color w:val="auto"/>
          <w:spacing w:val="0"/>
          <w:kern w:val="0"/>
          <w:sz w:val="30"/>
          <w:szCs w:val="30"/>
          <w:lang w:val="en-US" w:eastAsia="zh-CN" w:bidi="ar"/>
        </w:rPr>
      </w:pPr>
      <w:r>
        <w:rPr>
          <w:rFonts w:hint="eastAsia" w:ascii="仿宋" w:hAnsi="仿宋" w:eastAsia="仿宋" w:cs="仿宋"/>
          <w:i w:val="0"/>
          <w:caps w:val="0"/>
          <w:color w:val="auto"/>
          <w:spacing w:val="0"/>
          <w:kern w:val="0"/>
          <w:sz w:val="30"/>
          <w:szCs w:val="30"/>
          <w:lang w:val="en-US" w:eastAsia="zh-CN" w:bidi="ar"/>
        </w:rPr>
        <w:t>6、继续实施失业保险保障扩围政策。促进医养康养相结合，稳步推进长期护理保险制度试点。</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 w:hAnsi="仿宋" w:eastAsia="仿宋" w:cs="仿宋"/>
          <w:i w:val="0"/>
          <w:caps w:val="0"/>
          <w:color w:val="auto"/>
          <w:spacing w:val="0"/>
          <w:kern w:val="0"/>
          <w:sz w:val="30"/>
          <w:szCs w:val="30"/>
          <w:lang w:val="en-US" w:eastAsia="zh-CN" w:bidi="ar"/>
        </w:rPr>
      </w:pPr>
      <w:r>
        <w:rPr>
          <w:rFonts w:hint="eastAsia" w:ascii="仿宋" w:hAnsi="仿宋" w:eastAsia="仿宋" w:cs="仿宋"/>
          <w:i w:val="0"/>
          <w:caps w:val="0"/>
          <w:color w:val="auto"/>
          <w:spacing w:val="0"/>
          <w:kern w:val="0"/>
          <w:sz w:val="30"/>
          <w:szCs w:val="30"/>
          <w:lang w:val="en-US" w:eastAsia="zh-CN" w:bidi="ar"/>
        </w:rPr>
        <w:t>7、继续对灵活就业人员给予社保补贴，推动放开在就业地参加社会保险的户籍限制。</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 w:hAnsi="仿宋" w:eastAsia="仿宋" w:cs="仿宋"/>
          <w:i w:val="0"/>
          <w:caps w:val="0"/>
          <w:color w:val="auto"/>
          <w:spacing w:val="0"/>
          <w:kern w:val="0"/>
          <w:sz w:val="30"/>
          <w:szCs w:val="30"/>
          <w:lang w:val="en-US" w:eastAsia="zh-CN" w:bidi="ar"/>
        </w:rPr>
      </w:pPr>
      <w:r>
        <w:rPr>
          <w:rFonts w:hint="eastAsia" w:ascii="仿宋" w:hAnsi="仿宋" w:eastAsia="仿宋" w:cs="仿宋"/>
          <w:i w:val="0"/>
          <w:caps w:val="0"/>
          <w:color w:val="auto"/>
          <w:spacing w:val="0"/>
          <w:kern w:val="0"/>
          <w:sz w:val="30"/>
          <w:szCs w:val="30"/>
          <w:lang w:val="en-US" w:eastAsia="zh-CN" w:bidi="ar"/>
        </w:rPr>
        <w:t>8、居民医保和基本公共卫生服务经费人均财政补助标准分别再增加30元和5元。</w:t>
      </w:r>
    </w:p>
    <w:p>
      <w:pPr>
        <w:keepNext w:val="0"/>
        <w:keepLines w:val="0"/>
        <w:pageBreakBefore w:val="0"/>
        <w:widowControl w:val="0"/>
        <w:numPr>
          <w:ilvl w:val="0"/>
          <w:numId w:val="0"/>
        </w:numPr>
        <w:kinsoku/>
        <w:wordWrap/>
        <w:overflowPunct/>
        <w:topLinePunct w:val="0"/>
        <w:autoSpaceDE/>
        <w:autoSpaceDN/>
        <w:bidi w:val="0"/>
        <w:spacing w:line="360" w:lineRule="auto"/>
        <w:ind w:firstLine="562" w:firstLineChars="200"/>
        <w:jc w:val="both"/>
        <w:textAlignment w:val="auto"/>
        <w:rPr>
          <w:rFonts w:hint="eastAsia" w:ascii="宋体" w:hAnsi="宋体" w:eastAsia="宋体" w:cs="宋体"/>
          <w:b/>
          <w:sz w:val="28"/>
          <w:szCs w:val="28"/>
          <w:lang w:val="en-US" w:eastAsia="zh-CN"/>
        </w:rPr>
      </w:pPr>
    </w:p>
    <w:p>
      <w:pPr>
        <w:keepNext w:val="0"/>
        <w:keepLines w:val="0"/>
        <w:pageBreakBefore w:val="0"/>
        <w:numPr>
          <w:ilvl w:val="0"/>
          <w:numId w:val="3"/>
        </w:numPr>
        <w:kinsoku/>
        <w:wordWrap/>
        <w:overflowPunct/>
        <w:topLinePunct w:val="0"/>
        <w:autoSpaceDE/>
        <w:autoSpaceDN/>
        <w:bidi w:val="0"/>
        <w:spacing w:line="360" w:lineRule="auto"/>
        <w:ind w:left="0"/>
        <w:jc w:val="center"/>
        <w:textAlignment w:val="auto"/>
        <w:rPr>
          <w:rFonts w:hint="eastAsia" w:ascii="宋体" w:hAnsi="宋体" w:eastAsia="宋体" w:cs="宋体"/>
          <w:b/>
          <w:sz w:val="32"/>
          <w:szCs w:val="32"/>
        </w:rPr>
      </w:pPr>
      <w:r>
        <w:rPr>
          <w:rFonts w:hint="eastAsia" w:ascii="宋体" w:hAnsi="宋体" w:eastAsia="宋体" w:cs="宋体"/>
          <w:b/>
          <w:sz w:val="32"/>
          <w:szCs w:val="32"/>
          <w:lang w:val="en-US" w:eastAsia="zh-CN"/>
        </w:rPr>
        <w:t>第二部分    建筑业</w:t>
      </w:r>
      <w:r>
        <w:rPr>
          <w:rFonts w:hint="eastAsia" w:ascii="宋体" w:hAnsi="宋体" w:eastAsia="宋体" w:cs="宋体"/>
          <w:b/>
          <w:sz w:val="32"/>
          <w:szCs w:val="32"/>
        </w:rPr>
        <w:t>企业所得税汇算清缴</w:t>
      </w:r>
    </w:p>
    <w:p>
      <w:pPr>
        <w:keepNext w:val="0"/>
        <w:keepLines w:val="0"/>
        <w:pageBreakBefore w:val="0"/>
        <w:kinsoku/>
        <w:wordWrap/>
        <w:overflowPunct/>
        <w:topLinePunct w:val="0"/>
        <w:autoSpaceDE/>
        <w:autoSpaceDN/>
        <w:bidi w:val="0"/>
        <w:spacing w:line="360" w:lineRule="auto"/>
        <w:ind w:firstLine="643" w:firstLineChars="200"/>
        <w:textAlignment w:val="auto"/>
        <w:rPr>
          <w:rFonts w:hint="eastAsia" w:ascii="宋体" w:hAnsi="宋体" w:eastAsia="宋体" w:cs="宋体"/>
          <w:b/>
          <w:sz w:val="28"/>
          <w:szCs w:val="28"/>
        </w:rPr>
      </w:pPr>
      <w:r>
        <w:rPr>
          <w:rFonts w:hint="eastAsia" w:ascii="宋体" w:hAnsi="宋体" w:eastAsia="宋体" w:cs="宋体"/>
          <w:b/>
          <w:sz w:val="32"/>
          <w:szCs w:val="32"/>
        </w:rPr>
        <w:t>一、</w:t>
      </w:r>
      <w:bookmarkStart w:id="3" w:name="_Hlk59128579"/>
      <w:r>
        <w:rPr>
          <w:rFonts w:hint="eastAsia" w:ascii="宋体" w:hAnsi="宋体" w:eastAsia="宋体" w:cs="宋体"/>
          <w:b/>
          <w:sz w:val="32"/>
          <w:szCs w:val="32"/>
        </w:rPr>
        <w:t>近期主要企业所得税政策解读</w:t>
      </w:r>
    </w:p>
    <w:bookmarkEnd w:id="3"/>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 w:hAnsi="仿宋" w:eastAsia="仿宋" w:cs="仿宋"/>
          <w:i w:val="0"/>
          <w:caps w:val="0"/>
          <w:color w:val="auto"/>
          <w:spacing w:val="0"/>
          <w:kern w:val="0"/>
          <w:sz w:val="30"/>
          <w:szCs w:val="30"/>
          <w:lang w:val="en-US" w:eastAsia="zh-CN" w:bidi="ar"/>
        </w:rPr>
      </w:pPr>
      <w:r>
        <w:rPr>
          <w:rFonts w:hint="eastAsia" w:ascii="仿宋" w:hAnsi="仿宋" w:eastAsia="仿宋" w:cs="仿宋"/>
          <w:i w:val="0"/>
          <w:caps w:val="0"/>
          <w:color w:val="auto"/>
          <w:spacing w:val="0"/>
          <w:kern w:val="0"/>
          <w:sz w:val="30"/>
          <w:szCs w:val="30"/>
          <w:lang w:val="en-US" w:eastAsia="zh-CN" w:bidi="ar"/>
        </w:rPr>
        <w:t>（一）建筑业疫情期间固定资产加速折旧是如何规定必须要享受吗？如何判断企业享受还是不享受？有什么利弊？</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 w:hAnsi="仿宋" w:eastAsia="仿宋" w:cs="仿宋"/>
          <w:i w:val="0"/>
          <w:caps w:val="0"/>
          <w:color w:val="auto"/>
          <w:spacing w:val="0"/>
          <w:kern w:val="0"/>
          <w:sz w:val="30"/>
          <w:szCs w:val="30"/>
          <w:lang w:val="en-US" w:eastAsia="zh-CN" w:bidi="ar"/>
        </w:rPr>
      </w:pPr>
      <w:r>
        <w:rPr>
          <w:rFonts w:hint="eastAsia" w:ascii="仿宋" w:hAnsi="仿宋" w:eastAsia="仿宋" w:cs="仿宋"/>
          <w:i w:val="0"/>
          <w:caps w:val="0"/>
          <w:color w:val="auto"/>
          <w:spacing w:val="0"/>
          <w:kern w:val="0"/>
          <w:sz w:val="30"/>
          <w:szCs w:val="30"/>
          <w:lang w:val="en-US" w:eastAsia="zh-CN" w:bidi="ar"/>
        </w:rPr>
        <w:t>（二）已经到期的固定资产加速折旧政策的实施要点有哪些？如何选择享受，都需要注意哪些问题？</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 w:hAnsi="仿宋" w:eastAsia="仿宋" w:cs="仿宋"/>
          <w:i w:val="0"/>
          <w:caps w:val="0"/>
          <w:color w:val="auto"/>
          <w:spacing w:val="0"/>
          <w:kern w:val="0"/>
          <w:sz w:val="30"/>
          <w:szCs w:val="30"/>
          <w:lang w:val="en-US" w:eastAsia="zh-CN" w:bidi="ar"/>
        </w:rPr>
      </w:pPr>
      <w:r>
        <w:rPr>
          <w:rFonts w:hint="eastAsia" w:ascii="仿宋" w:hAnsi="仿宋" w:eastAsia="仿宋" w:cs="仿宋"/>
          <w:i w:val="0"/>
          <w:caps w:val="0"/>
          <w:color w:val="auto"/>
          <w:spacing w:val="0"/>
          <w:kern w:val="0"/>
          <w:sz w:val="30"/>
          <w:szCs w:val="30"/>
          <w:lang w:val="en-US" w:eastAsia="zh-CN" w:bidi="ar"/>
        </w:rPr>
        <w:t xml:space="preserve">（三）建筑业企业所得税主要纳税调整事项 </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 w:hAnsi="仿宋" w:eastAsia="仿宋" w:cs="仿宋"/>
          <w:i w:val="0"/>
          <w:caps w:val="0"/>
          <w:color w:val="auto"/>
          <w:spacing w:val="0"/>
          <w:kern w:val="0"/>
          <w:sz w:val="30"/>
          <w:szCs w:val="30"/>
          <w:lang w:val="en-US" w:eastAsia="zh-CN" w:bidi="ar"/>
        </w:rPr>
      </w:pPr>
      <w:r>
        <w:rPr>
          <w:rFonts w:hint="eastAsia" w:ascii="仿宋" w:hAnsi="仿宋" w:eastAsia="仿宋" w:cs="仿宋"/>
          <w:i w:val="0"/>
          <w:caps w:val="0"/>
          <w:color w:val="auto"/>
          <w:spacing w:val="0"/>
          <w:kern w:val="0"/>
          <w:sz w:val="30"/>
          <w:szCs w:val="30"/>
          <w:lang w:val="en-US" w:eastAsia="zh-CN" w:bidi="ar"/>
        </w:rPr>
        <w:t>（四）建筑业可以研发费用加计扣除吗？</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 w:hAnsi="仿宋" w:eastAsia="仿宋" w:cs="仿宋"/>
          <w:i w:val="0"/>
          <w:caps w:val="0"/>
          <w:color w:val="auto"/>
          <w:spacing w:val="0"/>
          <w:kern w:val="0"/>
          <w:sz w:val="30"/>
          <w:szCs w:val="30"/>
          <w:lang w:val="en-US" w:eastAsia="zh-CN" w:bidi="ar"/>
        </w:rPr>
      </w:pPr>
      <w:r>
        <w:rPr>
          <w:rFonts w:hint="eastAsia" w:ascii="仿宋" w:hAnsi="仿宋" w:eastAsia="仿宋" w:cs="仿宋"/>
          <w:i w:val="0"/>
          <w:caps w:val="0"/>
          <w:color w:val="auto"/>
          <w:spacing w:val="0"/>
          <w:kern w:val="0"/>
          <w:sz w:val="30"/>
          <w:szCs w:val="30"/>
          <w:lang w:val="en-US" w:eastAsia="zh-CN" w:bidi="ar"/>
        </w:rPr>
        <w:t>（五）建筑公司未取得合规发票如何补救？补开、换开发票、其他扣税凭证的期限？</w:t>
      </w:r>
    </w:p>
    <w:p>
      <w:pPr>
        <w:keepNext w:val="0"/>
        <w:keepLines w:val="0"/>
        <w:pageBreakBefore w:val="0"/>
        <w:kinsoku/>
        <w:wordWrap/>
        <w:overflowPunct/>
        <w:topLinePunct w:val="0"/>
        <w:autoSpaceDE/>
        <w:autoSpaceDN/>
        <w:bidi w:val="0"/>
        <w:spacing w:line="360" w:lineRule="auto"/>
        <w:ind w:firstLine="643" w:firstLineChars="200"/>
        <w:textAlignment w:val="auto"/>
        <w:rPr>
          <w:rFonts w:hint="eastAsia" w:ascii="宋体" w:hAnsi="宋体" w:eastAsia="宋体" w:cs="宋体"/>
          <w:b/>
          <w:bCs/>
          <w:sz w:val="32"/>
          <w:szCs w:val="32"/>
        </w:rPr>
      </w:pPr>
      <w:r>
        <w:rPr>
          <w:rFonts w:hint="eastAsia" w:ascii="宋体" w:hAnsi="宋体" w:eastAsia="宋体" w:cs="宋体"/>
          <w:b/>
          <w:bCs/>
          <w:sz w:val="32"/>
          <w:szCs w:val="32"/>
        </w:rPr>
        <w:t>二、202</w:t>
      </w:r>
      <w:r>
        <w:rPr>
          <w:rFonts w:hint="eastAsia" w:ascii="宋体" w:hAnsi="宋体" w:eastAsia="宋体" w:cs="宋体"/>
          <w:b/>
          <w:bCs/>
          <w:sz w:val="32"/>
          <w:szCs w:val="32"/>
          <w:lang w:val="en-US" w:eastAsia="zh-CN"/>
        </w:rPr>
        <w:t>1</w:t>
      </w:r>
      <w:r>
        <w:rPr>
          <w:rFonts w:hint="eastAsia" w:ascii="宋体" w:hAnsi="宋体" w:eastAsia="宋体" w:cs="宋体"/>
          <w:b/>
          <w:bCs/>
          <w:sz w:val="32"/>
          <w:szCs w:val="32"/>
        </w:rPr>
        <w:t>年</w:t>
      </w:r>
      <w:r>
        <w:rPr>
          <w:rFonts w:hint="eastAsia" w:ascii="宋体" w:hAnsi="宋体" w:eastAsia="宋体" w:cs="宋体"/>
          <w:b/>
          <w:bCs/>
          <w:sz w:val="32"/>
          <w:szCs w:val="32"/>
          <w:lang w:val="en-US" w:eastAsia="zh-CN"/>
        </w:rPr>
        <w:t>建筑业</w:t>
      </w:r>
      <w:r>
        <w:rPr>
          <w:rFonts w:hint="eastAsia" w:ascii="宋体" w:hAnsi="宋体" w:eastAsia="宋体" w:cs="宋体"/>
          <w:b/>
          <w:bCs/>
          <w:sz w:val="32"/>
          <w:szCs w:val="32"/>
        </w:rPr>
        <w:t>企业所得税主要税收风险提示</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 w:hAnsi="仿宋" w:eastAsia="仿宋" w:cs="仿宋"/>
          <w:i w:val="0"/>
          <w:caps w:val="0"/>
          <w:color w:val="auto"/>
          <w:spacing w:val="0"/>
          <w:kern w:val="0"/>
          <w:sz w:val="30"/>
          <w:szCs w:val="30"/>
          <w:lang w:val="en-US" w:eastAsia="zh-CN" w:bidi="ar"/>
        </w:rPr>
      </w:pPr>
      <w:r>
        <w:rPr>
          <w:rFonts w:hint="eastAsia" w:ascii="仿宋" w:hAnsi="仿宋" w:eastAsia="仿宋" w:cs="仿宋"/>
          <w:i w:val="0"/>
          <w:caps w:val="0"/>
          <w:color w:val="auto"/>
          <w:spacing w:val="0"/>
          <w:kern w:val="0"/>
          <w:sz w:val="30"/>
          <w:szCs w:val="30"/>
          <w:lang w:val="en-US" w:eastAsia="zh-CN" w:bidi="ar"/>
        </w:rPr>
        <w:t>（一）建筑业各类财务报表、纳税申报表等表表之间关联数据勾稽关系预警风险。</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 w:hAnsi="仿宋" w:eastAsia="仿宋" w:cs="仿宋"/>
          <w:i w:val="0"/>
          <w:caps w:val="0"/>
          <w:color w:val="auto"/>
          <w:spacing w:val="0"/>
          <w:kern w:val="0"/>
          <w:sz w:val="30"/>
          <w:szCs w:val="30"/>
          <w:lang w:val="en-US" w:eastAsia="zh-CN" w:bidi="ar"/>
        </w:rPr>
      </w:pPr>
      <w:r>
        <w:rPr>
          <w:rFonts w:hint="eastAsia" w:ascii="仿宋" w:hAnsi="仿宋" w:eastAsia="仿宋" w:cs="仿宋"/>
          <w:i w:val="0"/>
          <w:caps w:val="0"/>
          <w:color w:val="auto"/>
          <w:spacing w:val="0"/>
          <w:kern w:val="0"/>
          <w:sz w:val="30"/>
          <w:szCs w:val="30"/>
          <w:lang w:val="en-US" w:eastAsia="zh-CN" w:bidi="ar"/>
        </w:rPr>
        <w:t>（二）建筑业主要会计科目企业所得税风险提示。</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 w:hAnsi="仿宋" w:eastAsia="仿宋" w:cs="仿宋"/>
          <w:i w:val="0"/>
          <w:caps w:val="0"/>
          <w:color w:val="auto"/>
          <w:spacing w:val="0"/>
          <w:kern w:val="0"/>
          <w:sz w:val="30"/>
          <w:szCs w:val="30"/>
          <w:lang w:val="en-US" w:eastAsia="zh-CN" w:bidi="ar"/>
        </w:rPr>
      </w:pPr>
      <w:r>
        <w:rPr>
          <w:rFonts w:hint="eastAsia" w:ascii="仿宋" w:hAnsi="仿宋" w:eastAsia="仿宋" w:cs="仿宋"/>
          <w:i w:val="0"/>
          <w:caps w:val="0"/>
          <w:color w:val="auto"/>
          <w:spacing w:val="0"/>
          <w:kern w:val="0"/>
          <w:sz w:val="30"/>
          <w:szCs w:val="30"/>
          <w:lang w:val="en-US" w:eastAsia="zh-CN" w:bidi="ar"/>
        </w:rPr>
        <w:t>（三）建安企业会计收入和所得税收入与增值税收入时间、金额等差异处理。</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 w:hAnsi="仿宋" w:eastAsia="仿宋" w:cs="仿宋"/>
          <w:i w:val="0"/>
          <w:caps w:val="0"/>
          <w:color w:val="auto"/>
          <w:spacing w:val="0"/>
          <w:kern w:val="0"/>
          <w:sz w:val="30"/>
          <w:szCs w:val="30"/>
          <w:lang w:val="en-US" w:eastAsia="zh-CN" w:bidi="ar"/>
        </w:rPr>
      </w:pPr>
      <w:r>
        <w:rPr>
          <w:rFonts w:hint="eastAsia" w:ascii="仿宋" w:hAnsi="仿宋" w:eastAsia="仿宋" w:cs="仿宋"/>
          <w:i w:val="0"/>
          <w:caps w:val="0"/>
          <w:color w:val="auto"/>
          <w:spacing w:val="0"/>
          <w:kern w:val="0"/>
          <w:sz w:val="30"/>
          <w:szCs w:val="30"/>
          <w:lang w:val="en-US" w:eastAsia="zh-CN" w:bidi="ar"/>
        </w:rPr>
        <w:t>（四）建筑业纳税申报时常见风险提示及防范措施。</w:t>
      </w:r>
    </w:p>
    <w:p>
      <w:pPr>
        <w:keepNext w:val="0"/>
        <w:keepLines w:val="0"/>
        <w:pageBreakBefore w:val="0"/>
        <w:kinsoku/>
        <w:wordWrap/>
        <w:overflowPunct/>
        <w:topLinePunct w:val="0"/>
        <w:autoSpaceDE/>
        <w:autoSpaceDN/>
        <w:bidi w:val="0"/>
        <w:spacing w:line="360" w:lineRule="auto"/>
        <w:ind w:firstLine="643" w:firstLineChars="200"/>
        <w:textAlignment w:val="auto"/>
        <w:rPr>
          <w:rFonts w:hint="eastAsia" w:ascii="宋体" w:hAnsi="宋体" w:eastAsia="宋体" w:cs="宋体"/>
          <w:b/>
          <w:sz w:val="32"/>
          <w:szCs w:val="32"/>
        </w:rPr>
      </w:pPr>
      <w:r>
        <w:rPr>
          <w:rFonts w:hint="eastAsia" w:ascii="宋体" w:hAnsi="宋体" w:eastAsia="宋体" w:cs="宋体"/>
          <w:b/>
          <w:sz w:val="32"/>
          <w:szCs w:val="32"/>
        </w:rPr>
        <w:t>三、202</w:t>
      </w:r>
      <w:r>
        <w:rPr>
          <w:rFonts w:hint="eastAsia" w:ascii="宋体" w:hAnsi="宋体" w:eastAsia="宋体" w:cs="宋体"/>
          <w:b/>
          <w:sz w:val="32"/>
          <w:szCs w:val="32"/>
          <w:lang w:val="en-US" w:eastAsia="zh-CN"/>
        </w:rPr>
        <w:t>1</w:t>
      </w:r>
      <w:r>
        <w:rPr>
          <w:rFonts w:hint="eastAsia" w:ascii="宋体" w:hAnsi="宋体" w:eastAsia="宋体" w:cs="宋体"/>
          <w:b/>
          <w:sz w:val="32"/>
          <w:szCs w:val="32"/>
        </w:rPr>
        <w:t>年</w:t>
      </w:r>
      <w:r>
        <w:rPr>
          <w:rFonts w:hint="eastAsia" w:ascii="宋体" w:hAnsi="宋体" w:eastAsia="宋体" w:cs="宋体"/>
          <w:b/>
          <w:sz w:val="32"/>
          <w:szCs w:val="32"/>
          <w:lang w:val="en-US" w:eastAsia="zh-CN"/>
        </w:rPr>
        <w:t>建筑业</w:t>
      </w:r>
      <w:r>
        <w:rPr>
          <w:rFonts w:hint="eastAsia" w:ascii="宋体" w:hAnsi="宋体" w:eastAsia="宋体" w:cs="宋体"/>
          <w:b/>
          <w:sz w:val="32"/>
          <w:szCs w:val="32"/>
        </w:rPr>
        <w:t>企业所得税重点热点问题梳理</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 w:hAnsi="仿宋" w:eastAsia="仿宋" w:cs="仿宋"/>
          <w:i w:val="0"/>
          <w:caps w:val="0"/>
          <w:color w:val="auto"/>
          <w:spacing w:val="0"/>
          <w:kern w:val="0"/>
          <w:sz w:val="30"/>
          <w:szCs w:val="30"/>
          <w:lang w:val="en-US" w:eastAsia="zh-CN" w:bidi="ar"/>
        </w:rPr>
      </w:pPr>
      <w:r>
        <w:rPr>
          <w:rFonts w:hint="eastAsia" w:ascii="仿宋" w:hAnsi="仿宋" w:eastAsia="仿宋" w:cs="仿宋"/>
          <w:i w:val="0"/>
          <w:caps w:val="0"/>
          <w:color w:val="auto"/>
          <w:spacing w:val="0"/>
          <w:kern w:val="0"/>
          <w:sz w:val="30"/>
          <w:szCs w:val="30"/>
          <w:lang w:val="en-US" w:eastAsia="zh-CN" w:bidi="ar"/>
        </w:rPr>
        <w:t>（一）建筑业允许税前扣除的企业员工工资是否必须以企业为员工缴纳社会保险为前提？</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 w:hAnsi="仿宋" w:eastAsia="仿宋" w:cs="仿宋"/>
          <w:i w:val="0"/>
          <w:caps w:val="0"/>
          <w:color w:val="auto"/>
          <w:spacing w:val="0"/>
          <w:kern w:val="0"/>
          <w:sz w:val="30"/>
          <w:szCs w:val="30"/>
          <w:lang w:val="en-US" w:eastAsia="zh-CN" w:bidi="ar"/>
        </w:rPr>
      </w:pPr>
      <w:r>
        <w:rPr>
          <w:rFonts w:hint="eastAsia" w:ascii="仿宋" w:hAnsi="仿宋" w:eastAsia="仿宋" w:cs="仿宋"/>
          <w:i w:val="0"/>
          <w:caps w:val="0"/>
          <w:color w:val="auto"/>
          <w:spacing w:val="0"/>
          <w:kern w:val="0"/>
          <w:sz w:val="30"/>
          <w:szCs w:val="30"/>
          <w:lang w:val="en-US" w:eastAsia="zh-CN" w:bidi="ar"/>
        </w:rPr>
        <w:t>（二）建筑业增值税差额征税的企业所得税处理</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 w:hAnsi="仿宋" w:eastAsia="仿宋" w:cs="仿宋"/>
          <w:i w:val="0"/>
          <w:caps w:val="0"/>
          <w:color w:val="auto"/>
          <w:spacing w:val="0"/>
          <w:kern w:val="0"/>
          <w:sz w:val="30"/>
          <w:szCs w:val="30"/>
          <w:lang w:val="en-US" w:eastAsia="zh-CN" w:bidi="ar"/>
        </w:rPr>
      </w:pPr>
      <w:r>
        <w:rPr>
          <w:rFonts w:hint="eastAsia" w:ascii="仿宋" w:hAnsi="仿宋" w:eastAsia="仿宋" w:cs="仿宋"/>
          <w:i w:val="0"/>
          <w:caps w:val="0"/>
          <w:color w:val="auto"/>
          <w:spacing w:val="0"/>
          <w:kern w:val="0"/>
          <w:sz w:val="30"/>
          <w:szCs w:val="30"/>
          <w:lang w:val="en-US" w:eastAsia="zh-CN" w:bidi="ar"/>
        </w:rPr>
        <w:t>（三）建筑业取得虚开增值税发票企业所得税可否税前扣除？有补救措施吗？</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 w:hAnsi="仿宋" w:eastAsia="仿宋" w:cs="仿宋"/>
          <w:i w:val="0"/>
          <w:caps w:val="0"/>
          <w:color w:val="auto"/>
          <w:spacing w:val="0"/>
          <w:kern w:val="0"/>
          <w:sz w:val="30"/>
          <w:szCs w:val="30"/>
          <w:lang w:val="en-US" w:eastAsia="zh-CN" w:bidi="ar"/>
        </w:rPr>
      </w:pPr>
      <w:r>
        <w:rPr>
          <w:rFonts w:hint="eastAsia" w:ascii="仿宋" w:hAnsi="仿宋" w:eastAsia="仿宋" w:cs="仿宋"/>
          <w:i w:val="0"/>
          <w:caps w:val="0"/>
          <w:color w:val="auto"/>
          <w:spacing w:val="0"/>
          <w:kern w:val="0"/>
          <w:sz w:val="30"/>
          <w:szCs w:val="30"/>
          <w:lang w:val="en-US" w:eastAsia="zh-CN" w:bidi="ar"/>
        </w:rPr>
        <w:t>（四）建筑业应取得发票而未取得发票，但合同、对账单等其他证据齐全，可否税前扣除？</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 w:hAnsi="仿宋" w:eastAsia="仿宋" w:cs="仿宋"/>
          <w:i w:val="0"/>
          <w:caps w:val="0"/>
          <w:color w:val="auto"/>
          <w:spacing w:val="0"/>
          <w:kern w:val="0"/>
          <w:sz w:val="30"/>
          <w:szCs w:val="30"/>
          <w:lang w:val="en-US" w:eastAsia="zh-CN" w:bidi="ar"/>
        </w:rPr>
      </w:pPr>
      <w:r>
        <w:rPr>
          <w:rFonts w:hint="eastAsia" w:ascii="仿宋" w:hAnsi="仿宋" w:eastAsia="仿宋" w:cs="仿宋"/>
          <w:i w:val="0"/>
          <w:caps w:val="0"/>
          <w:color w:val="auto"/>
          <w:spacing w:val="0"/>
          <w:kern w:val="0"/>
          <w:sz w:val="30"/>
          <w:szCs w:val="30"/>
          <w:lang w:val="en-US" w:eastAsia="zh-CN" w:bidi="ar"/>
        </w:rPr>
        <w:t>（五）建筑业总分公司的企业所得税汇算清缴疑难点解析。</w:t>
      </w:r>
    </w:p>
    <w:p>
      <w:pPr>
        <w:keepNext w:val="0"/>
        <w:keepLines w:val="0"/>
        <w:pageBreakBefore w:val="0"/>
        <w:kinsoku/>
        <w:wordWrap/>
        <w:overflowPunct/>
        <w:topLinePunct w:val="0"/>
        <w:autoSpaceDE/>
        <w:autoSpaceDN/>
        <w:bidi w:val="0"/>
        <w:spacing w:line="360" w:lineRule="auto"/>
        <w:ind w:firstLine="643" w:firstLineChars="200"/>
        <w:jc w:val="both"/>
        <w:textAlignment w:val="auto"/>
        <w:rPr>
          <w:rFonts w:hint="eastAsia" w:ascii="宋体" w:hAnsi="宋体" w:eastAsia="宋体" w:cs="宋体"/>
          <w:b/>
          <w:bCs/>
          <w:sz w:val="32"/>
          <w:szCs w:val="32"/>
        </w:rPr>
      </w:pPr>
      <w:r>
        <w:rPr>
          <w:rFonts w:hint="eastAsia" w:ascii="宋体" w:hAnsi="宋体" w:eastAsia="宋体" w:cs="宋体"/>
          <w:b/>
          <w:bCs/>
          <w:sz w:val="32"/>
          <w:szCs w:val="32"/>
          <w:lang w:val="en-US" w:eastAsia="zh-CN"/>
        </w:rPr>
        <w:t>四</w:t>
      </w:r>
      <w:r>
        <w:rPr>
          <w:rFonts w:hint="eastAsia" w:ascii="宋体" w:hAnsi="宋体" w:eastAsia="宋体" w:cs="宋体"/>
          <w:b/>
          <w:bCs/>
          <w:sz w:val="32"/>
          <w:szCs w:val="32"/>
        </w:rPr>
        <w:t>、2021年建筑业企业所得税难点解析</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 w:hAnsi="仿宋" w:eastAsia="仿宋" w:cs="仿宋"/>
          <w:i w:val="0"/>
          <w:caps w:val="0"/>
          <w:color w:val="auto"/>
          <w:spacing w:val="0"/>
          <w:kern w:val="0"/>
          <w:sz w:val="30"/>
          <w:szCs w:val="30"/>
          <w:lang w:val="en-US" w:eastAsia="zh-CN" w:bidi="ar"/>
        </w:rPr>
      </w:pPr>
      <w:r>
        <w:rPr>
          <w:rFonts w:hint="eastAsia" w:ascii="仿宋" w:hAnsi="仿宋" w:eastAsia="仿宋" w:cs="仿宋"/>
          <w:i w:val="0"/>
          <w:caps w:val="0"/>
          <w:color w:val="auto"/>
          <w:spacing w:val="0"/>
          <w:kern w:val="0"/>
          <w:sz w:val="30"/>
          <w:szCs w:val="30"/>
          <w:lang w:val="en-US" w:eastAsia="zh-CN" w:bidi="ar"/>
        </w:rPr>
        <w:t>（一）建筑业实行新收入准则的税会差异解析</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 w:hAnsi="仿宋" w:eastAsia="仿宋" w:cs="仿宋"/>
          <w:i w:val="0"/>
          <w:caps w:val="0"/>
          <w:color w:val="auto"/>
          <w:spacing w:val="0"/>
          <w:kern w:val="0"/>
          <w:sz w:val="30"/>
          <w:szCs w:val="30"/>
          <w:lang w:val="en-US" w:eastAsia="zh-CN" w:bidi="ar"/>
        </w:rPr>
      </w:pPr>
      <w:r>
        <w:rPr>
          <w:rFonts w:hint="eastAsia" w:ascii="仿宋" w:hAnsi="仿宋" w:eastAsia="仿宋" w:cs="仿宋"/>
          <w:i w:val="0"/>
          <w:caps w:val="0"/>
          <w:color w:val="auto"/>
          <w:spacing w:val="0"/>
          <w:kern w:val="0"/>
          <w:sz w:val="30"/>
          <w:szCs w:val="30"/>
          <w:lang w:val="en-US" w:eastAsia="zh-CN" w:bidi="ar"/>
        </w:rPr>
        <w:t>1、建筑业新收入准则的税会差异</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 w:hAnsi="仿宋" w:eastAsia="仿宋" w:cs="仿宋"/>
          <w:i w:val="0"/>
          <w:caps w:val="0"/>
          <w:color w:val="auto"/>
          <w:spacing w:val="0"/>
          <w:kern w:val="0"/>
          <w:sz w:val="30"/>
          <w:szCs w:val="30"/>
          <w:lang w:val="en-US" w:eastAsia="zh-CN" w:bidi="ar"/>
        </w:rPr>
      </w:pPr>
      <w:r>
        <w:rPr>
          <w:rFonts w:hint="eastAsia" w:ascii="仿宋" w:hAnsi="仿宋" w:eastAsia="仿宋" w:cs="仿宋"/>
          <w:i w:val="0"/>
          <w:caps w:val="0"/>
          <w:color w:val="auto"/>
          <w:spacing w:val="0"/>
          <w:kern w:val="0"/>
          <w:sz w:val="30"/>
          <w:szCs w:val="30"/>
          <w:lang w:val="en-US" w:eastAsia="zh-CN" w:bidi="ar"/>
        </w:rPr>
        <w:t>2、建筑业新收入准则的企业所得税处理依据</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 w:hAnsi="仿宋" w:eastAsia="仿宋" w:cs="仿宋"/>
          <w:i w:val="0"/>
          <w:caps w:val="0"/>
          <w:color w:val="auto"/>
          <w:spacing w:val="0"/>
          <w:kern w:val="0"/>
          <w:sz w:val="30"/>
          <w:szCs w:val="30"/>
          <w:lang w:val="en-US" w:eastAsia="zh-CN" w:bidi="ar"/>
        </w:rPr>
      </w:pPr>
      <w:r>
        <w:rPr>
          <w:rFonts w:hint="eastAsia" w:ascii="仿宋" w:hAnsi="仿宋" w:eastAsia="仿宋" w:cs="仿宋"/>
          <w:i w:val="0"/>
          <w:caps w:val="0"/>
          <w:color w:val="auto"/>
          <w:spacing w:val="0"/>
          <w:kern w:val="0"/>
          <w:sz w:val="30"/>
          <w:szCs w:val="30"/>
          <w:lang w:val="en-US" w:eastAsia="zh-CN" w:bidi="ar"/>
        </w:rPr>
        <w:t>（二）建筑业关联企业利息扣除风险点解析</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 w:hAnsi="仿宋" w:eastAsia="仿宋" w:cs="仿宋"/>
          <w:i w:val="0"/>
          <w:caps w:val="0"/>
          <w:color w:val="auto"/>
          <w:spacing w:val="0"/>
          <w:kern w:val="0"/>
          <w:sz w:val="30"/>
          <w:szCs w:val="30"/>
          <w:lang w:val="en-US" w:eastAsia="zh-CN" w:bidi="ar"/>
        </w:rPr>
      </w:pPr>
      <w:r>
        <w:rPr>
          <w:rFonts w:hint="eastAsia" w:ascii="仿宋" w:hAnsi="仿宋" w:eastAsia="仿宋" w:cs="仿宋"/>
          <w:i w:val="0"/>
          <w:caps w:val="0"/>
          <w:color w:val="auto"/>
          <w:spacing w:val="0"/>
          <w:kern w:val="0"/>
          <w:sz w:val="30"/>
          <w:szCs w:val="30"/>
          <w:lang w:val="en-US" w:eastAsia="zh-CN" w:bidi="ar"/>
        </w:rPr>
        <w:t>1、建筑业关联企业利息扣除税收政策介绍</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 w:hAnsi="仿宋" w:eastAsia="仿宋" w:cs="仿宋"/>
          <w:i w:val="0"/>
          <w:caps w:val="0"/>
          <w:color w:val="auto"/>
          <w:spacing w:val="0"/>
          <w:kern w:val="0"/>
          <w:sz w:val="30"/>
          <w:szCs w:val="30"/>
          <w:lang w:val="en-US" w:eastAsia="zh-CN" w:bidi="ar"/>
        </w:rPr>
      </w:pPr>
      <w:r>
        <w:rPr>
          <w:rFonts w:hint="eastAsia" w:ascii="仿宋" w:hAnsi="仿宋" w:eastAsia="仿宋" w:cs="仿宋"/>
          <w:i w:val="0"/>
          <w:caps w:val="0"/>
          <w:color w:val="auto"/>
          <w:spacing w:val="0"/>
          <w:kern w:val="0"/>
          <w:sz w:val="30"/>
          <w:szCs w:val="30"/>
          <w:lang w:val="en-US" w:eastAsia="zh-CN" w:bidi="ar"/>
        </w:rPr>
        <w:t>2、建筑业关联企业利息扣除风险点解析</w:t>
      </w:r>
    </w:p>
    <w:p>
      <w:pPr>
        <w:keepNext w:val="0"/>
        <w:keepLines w:val="0"/>
        <w:pageBreakBefore w:val="0"/>
        <w:kinsoku/>
        <w:wordWrap/>
        <w:overflowPunct/>
        <w:topLinePunct w:val="0"/>
        <w:autoSpaceDE/>
        <w:autoSpaceDN/>
        <w:bidi w:val="0"/>
        <w:spacing w:line="360" w:lineRule="auto"/>
        <w:ind w:firstLine="562" w:firstLineChars="200"/>
        <w:jc w:val="both"/>
        <w:textAlignment w:val="auto"/>
        <w:rPr>
          <w:rFonts w:hint="eastAsia" w:ascii="宋体" w:hAnsi="宋体" w:eastAsia="宋体" w:cs="宋体"/>
          <w:b/>
          <w:bCs/>
          <w:sz w:val="28"/>
          <w:szCs w:val="28"/>
        </w:rPr>
      </w:pPr>
    </w:p>
    <w:p>
      <w:pPr>
        <w:keepNext w:val="0"/>
        <w:keepLines w:val="0"/>
        <w:pageBreakBefore w:val="0"/>
        <w:kinsoku/>
        <w:wordWrap/>
        <w:overflowPunct/>
        <w:topLinePunct w:val="0"/>
        <w:autoSpaceDE/>
        <w:autoSpaceDN/>
        <w:bidi w:val="0"/>
        <w:spacing w:line="360" w:lineRule="auto"/>
        <w:ind w:firstLine="1606" w:firstLineChars="500"/>
        <w:jc w:val="both"/>
        <w:textAlignment w:val="auto"/>
        <w:rPr>
          <w:rFonts w:hint="eastAsia" w:ascii="宋体" w:hAnsi="宋体" w:eastAsia="宋体" w:cs="宋体"/>
          <w:b/>
          <w:bCs/>
          <w:sz w:val="32"/>
          <w:szCs w:val="32"/>
        </w:rPr>
      </w:pPr>
      <w:r>
        <w:rPr>
          <w:rFonts w:hint="eastAsia" w:ascii="宋体" w:hAnsi="宋体" w:eastAsia="宋体" w:cs="宋体"/>
          <w:b/>
          <w:bCs/>
          <w:sz w:val="32"/>
          <w:szCs w:val="32"/>
        </w:rPr>
        <w:t>第</w:t>
      </w:r>
      <w:r>
        <w:rPr>
          <w:rFonts w:hint="eastAsia" w:ascii="宋体" w:hAnsi="宋体" w:eastAsia="宋体" w:cs="宋体"/>
          <w:b/>
          <w:bCs/>
          <w:sz w:val="32"/>
          <w:szCs w:val="32"/>
          <w:lang w:val="en-US" w:eastAsia="zh-CN"/>
        </w:rPr>
        <w:t>三</w:t>
      </w:r>
      <w:r>
        <w:rPr>
          <w:rFonts w:hint="eastAsia" w:ascii="宋体" w:hAnsi="宋体" w:eastAsia="宋体" w:cs="宋体"/>
          <w:b/>
          <w:bCs/>
          <w:sz w:val="32"/>
          <w:szCs w:val="32"/>
        </w:rPr>
        <w:t xml:space="preserve">部分   </w:t>
      </w:r>
      <w:r>
        <w:rPr>
          <w:rFonts w:hint="eastAsia" w:ascii="宋体" w:hAnsi="宋体" w:eastAsia="宋体" w:cs="宋体"/>
          <w:b/>
          <w:bCs/>
          <w:sz w:val="32"/>
          <w:szCs w:val="32"/>
          <w:lang w:val="en-US" w:eastAsia="zh-CN"/>
        </w:rPr>
        <w:t>建筑业</w:t>
      </w:r>
      <w:r>
        <w:rPr>
          <w:rFonts w:hint="eastAsia" w:ascii="宋体" w:hAnsi="宋体" w:eastAsia="宋体" w:cs="宋体"/>
          <w:b/>
          <w:bCs/>
          <w:sz w:val="32"/>
          <w:szCs w:val="32"/>
        </w:rPr>
        <w:t>个人所得税汇算清缴</w:t>
      </w:r>
    </w:p>
    <w:p>
      <w:pPr>
        <w:keepNext w:val="0"/>
        <w:keepLines w:val="0"/>
        <w:pageBreakBefore w:val="0"/>
        <w:numPr>
          <w:ilvl w:val="0"/>
          <w:numId w:val="4"/>
        </w:numPr>
        <w:kinsoku/>
        <w:wordWrap/>
        <w:overflowPunct/>
        <w:topLinePunct w:val="0"/>
        <w:autoSpaceDE/>
        <w:autoSpaceDN/>
        <w:bidi w:val="0"/>
        <w:spacing w:line="360" w:lineRule="auto"/>
        <w:textAlignment w:val="auto"/>
        <w:rPr>
          <w:rFonts w:hint="eastAsia" w:ascii="宋体" w:hAnsi="宋体" w:eastAsia="宋体" w:cs="宋体"/>
          <w:b/>
          <w:sz w:val="28"/>
          <w:szCs w:val="28"/>
        </w:rPr>
      </w:pPr>
      <w:r>
        <w:rPr>
          <w:rFonts w:hint="eastAsia" w:ascii="宋体" w:hAnsi="宋体" w:eastAsia="宋体" w:cs="宋体"/>
          <w:b/>
          <w:sz w:val="32"/>
          <w:szCs w:val="32"/>
        </w:rPr>
        <w:t>近期主要个人所得税政策解读</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 w:hAnsi="仿宋" w:eastAsia="仿宋" w:cs="仿宋"/>
          <w:i w:val="0"/>
          <w:caps w:val="0"/>
          <w:color w:val="auto"/>
          <w:spacing w:val="0"/>
          <w:kern w:val="0"/>
          <w:sz w:val="30"/>
          <w:szCs w:val="30"/>
          <w:lang w:val="en-US" w:eastAsia="zh-CN" w:bidi="ar"/>
        </w:rPr>
      </w:pPr>
      <w:r>
        <w:rPr>
          <w:rFonts w:hint="eastAsia" w:ascii="仿宋" w:hAnsi="仿宋" w:eastAsia="仿宋" w:cs="仿宋"/>
          <w:i w:val="0"/>
          <w:caps w:val="0"/>
          <w:color w:val="auto"/>
          <w:spacing w:val="0"/>
          <w:kern w:val="0"/>
          <w:sz w:val="30"/>
          <w:szCs w:val="30"/>
          <w:lang w:val="en-US" w:eastAsia="zh-CN" w:bidi="ar"/>
        </w:rPr>
        <w:t>（一）《国家税务总局关于进一步简便优化部分纳税人个人所得税预扣预缴方法的公告》国家税务总局公告2020年第19号</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 w:hAnsi="仿宋" w:eastAsia="仿宋" w:cs="仿宋"/>
          <w:i w:val="0"/>
          <w:caps w:val="0"/>
          <w:color w:val="auto"/>
          <w:spacing w:val="0"/>
          <w:kern w:val="0"/>
          <w:sz w:val="30"/>
          <w:szCs w:val="30"/>
          <w:lang w:val="en-US" w:eastAsia="zh-CN" w:bidi="ar"/>
        </w:rPr>
      </w:pPr>
      <w:r>
        <w:rPr>
          <w:rFonts w:hint="eastAsia" w:ascii="仿宋" w:hAnsi="仿宋" w:eastAsia="仿宋" w:cs="仿宋"/>
          <w:i w:val="0"/>
          <w:caps w:val="0"/>
          <w:color w:val="auto"/>
          <w:spacing w:val="0"/>
          <w:kern w:val="0"/>
          <w:sz w:val="30"/>
          <w:szCs w:val="30"/>
          <w:lang w:val="en-US" w:eastAsia="zh-CN" w:bidi="ar"/>
        </w:rPr>
        <w:t>（二）《国家税务总局关于完善调整部分纳税人个人所得税预扣预缴方法的公告》（国家税务总局公告2020年第13号）</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 w:hAnsi="仿宋" w:eastAsia="仿宋" w:cs="仿宋"/>
          <w:i w:val="0"/>
          <w:caps w:val="0"/>
          <w:color w:val="auto"/>
          <w:spacing w:val="0"/>
          <w:kern w:val="0"/>
          <w:sz w:val="30"/>
          <w:szCs w:val="30"/>
          <w:lang w:val="en-US" w:eastAsia="zh-CN" w:bidi="ar"/>
        </w:rPr>
      </w:pPr>
      <w:r>
        <w:rPr>
          <w:rFonts w:hint="eastAsia" w:ascii="仿宋" w:hAnsi="仿宋" w:eastAsia="仿宋" w:cs="仿宋"/>
          <w:i w:val="0"/>
          <w:caps w:val="0"/>
          <w:color w:val="auto"/>
          <w:spacing w:val="0"/>
          <w:kern w:val="0"/>
          <w:sz w:val="30"/>
          <w:szCs w:val="30"/>
          <w:lang w:val="en-US" w:eastAsia="zh-CN" w:bidi="ar"/>
        </w:rPr>
        <w:t>（三）首年汇缴结束后，凸显的重点问题在哪里？应如何整改与应对？</w:t>
      </w:r>
    </w:p>
    <w:p>
      <w:pPr>
        <w:keepNext w:val="0"/>
        <w:keepLines w:val="0"/>
        <w:pageBreakBefore w:val="0"/>
        <w:kinsoku/>
        <w:wordWrap/>
        <w:overflowPunct/>
        <w:topLinePunct w:val="0"/>
        <w:autoSpaceDE/>
        <w:autoSpaceDN/>
        <w:bidi w:val="0"/>
        <w:adjustRightInd w:val="0"/>
        <w:snapToGrid w:val="0"/>
        <w:spacing w:line="360" w:lineRule="auto"/>
        <w:ind w:firstLine="643" w:firstLineChars="200"/>
        <w:textAlignment w:val="auto"/>
        <w:rPr>
          <w:rFonts w:hint="eastAsia" w:ascii="宋体" w:hAnsi="宋体" w:eastAsia="宋体" w:cs="宋体"/>
          <w:b/>
          <w:sz w:val="28"/>
          <w:szCs w:val="28"/>
        </w:rPr>
      </w:pPr>
      <w:r>
        <w:rPr>
          <w:rFonts w:hint="eastAsia" w:ascii="宋体" w:hAnsi="宋体" w:eastAsia="宋体" w:cs="宋体"/>
          <w:b/>
          <w:sz w:val="32"/>
          <w:szCs w:val="32"/>
        </w:rPr>
        <w:t>二、</w:t>
      </w:r>
      <w:r>
        <w:rPr>
          <w:rFonts w:hint="eastAsia" w:ascii="宋体" w:hAnsi="宋体" w:eastAsia="宋体" w:cs="宋体"/>
          <w:b/>
          <w:sz w:val="32"/>
          <w:szCs w:val="32"/>
          <w:lang w:val="en-US" w:eastAsia="zh-CN"/>
        </w:rPr>
        <w:t>建筑业</w:t>
      </w:r>
      <w:r>
        <w:rPr>
          <w:rFonts w:hint="eastAsia" w:ascii="宋体" w:hAnsi="宋体" w:eastAsia="宋体" w:cs="宋体"/>
          <w:b/>
          <w:sz w:val="32"/>
          <w:szCs w:val="32"/>
        </w:rPr>
        <w:t>个税税收风险再认识</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 w:hAnsi="仿宋" w:eastAsia="仿宋" w:cs="仿宋"/>
          <w:i w:val="0"/>
          <w:caps w:val="0"/>
          <w:color w:val="auto"/>
          <w:spacing w:val="0"/>
          <w:kern w:val="0"/>
          <w:sz w:val="30"/>
          <w:szCs w:val="30"/>
          <w:lang w:val="en-US" w:eastAsia="zh-CN" w:bidi="ar"/>
        </w:rPr>
      </w:pPr>
      <w:r>
        <w:rPr>
          <w:rFonts w:hint="eastAsia" w:ascii="仿宋" w:hAnsi="仿宋" w:eastAsia="仿宋" w:cs="仿宋"/>
          <w:i w:val="0"/>
          <w:caps w:val="0"/>
          <w:color w:val="auto"/>
          <w:spacing w:val="0"/>
          <w:kern w:val="0"/>
          <w:sz w:val="30"/>
          <w:szCs w:val="30"/>
          <w:lang w:val="en-US" w:eastAsia="zh-CN" w:bidi="ar"/>
        </w:rPr>
        <w:t>（一）建筑业个人股权转让应关注的主要税收风险点</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 w:hAnsi="仿宋" w:eastAsia="仿宋" w:cs="仿宋"/>
          <w:i w:val="0"/>
          <w:caps w:val="0"/>
          <w:color w:val="auto"/>
          <w:spacing w:val="0"/>
          <w:kern w:val="0"/>
          <w:sz w:val="30"/>
          <w:szCs w:val="30"/>
          <w:lang w:val="en-US" w:eastAsia="zh-CN" w:bidi="ar"/>
        </w:rPr>
      </w:pPr>
      <w:r>
        <w:rPr>
          <w:rFonts w:hint="eastAsia" w:ascii="仿宋" w:hAnsi="仿宋" w:eastAsia="仿宋" w:cs="仿宋"/>
          <w:i w:val="0"/>
          <w:caps w:val="0"/>
          <w:color w:val="auto"/>
          <w:spacing w:val="0"/>
          <w:kern w:val="0"/>
          <w:sz w:val="30"/>
          <w:szCs w:val="30"/>
          <w:lang w:val="en-US" w:eastAsia="zh-CN" w:bidi="ar"/>
        </w:rPr>
        <w:t>（二）建筑业工资薪金和劳务报酬区别，未与农民工签订劳动合同，未缴纳社保，只缴纳工伤险的个人所得税、企业所得税社保处理。</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 w:hAnsi="仿宋" w:eastAsia="仿宋" w:cs="仿宋"/>
          <w:i w:val="0"/>
          <w:caps w:val="0"/>
          <w:color w:val="auto"/>
          <w:spacing w:val="0"/>
          <w:kern w:val="0"/>
          <w:sz w:val="30"/>
          <w:szCs w:val="30"/>
          <w:lang w:val="en-US" w:eastAsia="zh-CN" w:bidi="ar"/>
        </w:rPr>
      </w:pPr>
      <w:r>
        <w:rPr>
          <w:rFonts w:hint="eastAsia" w:ascii="仿宋" w:hAnsi="仿宋" w:eastAsia="仿宋" w:cs="仿宋"/>
          <w:i w:val="0"/>
          <w:caps w:val="0"/>
          <w:color w:val="auto"/>
          <w:spacing w:val="0"/>
          <w:kern w:val="0"/>
          <w:sz w:val="30"/>
          <w:szCs w:val="30"/>
          <w:lang w:val="en-US" w:eastAsia="zh-CN" w:bidi="ar"/>
        </w:rPr>
        <w:t>（三）以案说税，案例清晰，讲解细致。案例都精心设计“案例资料”、“税收政策”、“税务风险”几个部分，每一案例，每一税务风险点基本都有明确的税法依据。</w:t>
      </w:r>
    </w:p>
    <w:p>
      <w:pPr>
        <w:keepNext w:val="0"/>
        <w:keepLines w:val="0"/>
        <w:pageBreakBefore w:val="0"/>
        <w:kinsoku/>
        <w:wordWrap/>
        <w:overflowPunct/>
        <w:topLinePunct w:val="0"/>
        <w:autoSpaceDE/>
        <w:autoSpaceDN/>
        <w:bidi w:val="0"/>
        <w:adjustRightInd w:val="0"/>
        <w:snapToGrid w:val="0"/>
        <w:spacing w:line="360" w:lineRule="auto"/>
        <w:ind w:firstLine="643" w:firstLineChars="200"/>
        <w:textAlignment w:val="auto"/>
        <w:rPr>
          <w:rFonts w:hint="eastAsia" w:ascii="宋体" w:hAnsi="宋体" w:eastAsia="宋体" w:cs="宋体"/>
          <w:b/>
          <w:sz w:val="32"/>
          <w:szCs w:val="32"/>
        </w:rPr>
      </w:pPr>
      <w:r>
        <w:rPr>
          <w:rFonts w:hint="eastAsia" w:ascii="宋体" w:hAnsi="宋体" w:eastAsia="宋体" w:cs="宋体"/>
          <w:b/>
          <w:sz w:val="32"/>
          <w:szCs w:val="32"/>
        </w:rPr>
        <w:t>三、</w:t>
      </w:r>
      <w:r>
        <w:rPr>
          <w:rFonts w:hint="eastAsia" w:ascii="宋体" w:hAnsi="宋体" w:eastAsia="宋体" w:cs="宋体"/>
          <w:b/>
          <w:sz w:val="32"/>
          <w:szCs w:val="32"/>
          <w:lang w:val="en-US" w:eastAsia="zh-CN"/>
        </w:rPr>
        <w:t>建筑业</w:t>
      </w:r>
      <w:r>
        <w:rPr>
          <w:rFonts w:hint="eastAsia" w:ascii="宋体" w:hAnsi="宋体" w:eastAsia="宋体" w:cs="宋体"/>
          <w:b/>
          <w:sz w:val="32"/>
          <w:szCs w:val="32"/>
        </w:rPr>
        <w:t>个税热点问题</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 w:hAnsi="仿宋" w:eastAsia="仿宋" w:cs="仿宋"/>
          <w:i w:val="0"/>
          <w:caps w:val="0"/>
          <w:color w:val="auto"/>
          <w:spacing w:val="0"/>
          <w:kern w:val="0"/>
          <w:sz w:val="30"/>
          <w:szCs w:val="30"/>
          <w:lang w:val="en-US" w:eastAsia="zh-CN" w:bidi="ar"/>
        </w:rPr>
      </w:pPr>
      <w:r>
        <w:rPr>
          <w:rFonts w:hint="eastAsia" w:ascii="仿宋" w:hAnsi="仿宋" w:eastAsia="仿宋" w:cs="仿宋"/>
          <w:i w:val="0"/>
          <w:caps w:val="0"/>
          <w:color w:val="auto"/>
          <w:spacing w:val="0"/>
          <w:kern w:val="0"/>
          <w:sz w:val="30"/>
          <w:szCs w:val="30"/>
          <w:lang w:val="en-US" w:eastAsia="zh-CN" w:bidi="ar"/>
        </w:rPr>
        <w:t>（一）退休返聘人员、临时工、季节工等涉税处理。</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 w:hAnsi="仿宋" w:eastAsia="仿宋" w:cs="仿宋"/>
          <w:i w:val="0"/>
          <w:caps w:val="0"/>
          <w:color w:val="auto"/>
          <w:spacing w:val="0"/>
          <w:kern w:val="0"/>
          <w:sz w:val="30"/>
          <w:szCs w:val="30"/>
          <w:lang w:val="en-US" w:eastAsia="zh-CN" w:bidi="ar"/>
        </w:rPr>
      </w:pPr>
      <w:r>
        <w:rPr>
          <w:rFonts w:hint="eastAsia" w:ascii="仿宋" w:hAnsi="仿宋" w:eastAsia="仿宋" w:cs="仿宋"/>
          <w:i w:val="0"/>
          <w:caps w:val="0"/>
          <w:color w:val="auto"/>
          <w:spacing w:val="0"/>
          <w:kern w:val="0"/>
          <w:sz w:val="30"/>
          <w:szCs w:val="30"/>
          <w:lang w:val="en-US" w:eastAsia="zh-CN" w:bidi="ar"/>
        </w:rPr>
        <w:t>（二）建造师等挂证人员，只上社保，不发工资，是否需要做全员全额扣缴明细申报？</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 w:hAnsi="仿宋" w:eastAsia="仿宋" w:cs="仿宋"/>
          <w:i w:val="0"/>
          <w:caps w:val="0"/>
          <w:color w:val="auto"/>
          <w:spacing w:val="0"/>
          <w:kern w:val="0"/>
          <w:sz w:val="30"/>
          <w:szCs w:val="30"/>
          <w:lang w:val="en-US" w:eastAsia="zh-CN" w:bidi="ar"/>
        </w:rPr>
      </w:pPr>
      <w:r>
        <w:rPr>
          <w:rFonts w:hint="eastAsia" w:ascii="仿宋" w:hAnsi="仿宋" w:eastAsia="仿宋" w:cs="仿宋"/>
          <w:i w:val="0"/>
          <w:caps w:val="0"/>
          <w:color w:val="auto"/>
          <w:spacing w:val="0"/>
          <w:kern w:val="0"/>
          <w:sz w:val="30"/>
          <w:szCs w:val="30"/>
          <w:lang w:val="en-US" w:eastAsia="zh-CN" w:bidi="ar"/>
        </w:rPr>
        <w:t>（三）建筑业两处取得工资的，个税与社保的基数一样吗？企业所得税前如何扣除？</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宋体" w:hAnsi="宋体" w:eastAsia="宋体" w:cs="宋体"/>
          <w:bCs/>
          <w:sz w:val="28"/>
          <w:szCs w:val="28"/>
        </w:rPr>
      </w:pPr>
    </w:p>
    <w:p>
      <w:pPr>
        <w:keepNext w:val="0"/>
        <w:keepLines w:val="0"/>
        <w:pageBreakBefore w:val="0"/>
        <w:kinsoku/>
        <w:wordWrap/>
        <w:overflowPunct/>
        <w:topLinePunct w:val="0"/>
        <w:autoSpaceDE/>
        <w:autoSpaceDN/>
        <w:bidi w:val="0"/>
        <w:spacing w:line="360" w:lineRule="auto"/>
        <w:ind w:firstLine="643" w:firstLineChars="200"/>
        <w:jc w:val="center"/>
        <w:textAlignment w:val="auto"/>
        <w:rPr>
          <w:rFonts w:hint="eastAsia" w:ascii="宋体" w:hAnsi="宋体" w:eastAsia="宋体" w:cs="宋体"/>
          <w:b/>
          <w:sz w:val="32"/>
          <w:szCs w:val="32"/>
        </w:rPr>
      </w:pPr>
      <w:r>
        <w:rPr>
          <w:rFonts w:hint="eastAsia" w:ascii="宋体" w:hAnsi="宋体" w:eastAsia="宋体" w:cs="宋体"/>
          <w:b/>
          <w:sz w:val="32"/>
          <w:szCs w:val="32"/>
        </w:rPr>
        <w:t>第</w:t>
      </w:r>
      <w:r>
        <w:rPr>
          <w:rFonts w:hint="eastAsia" w:ascii="宋体" w:hAnsi="宋体" w:eastAsia="宋体" w:cs="宋体"/>
          <w:b/>
          <w:sz w:val="32"/>
          <w:szCs w:val="32"/>
          <w:lang w:val="en-US" w:eastAsia="zh-CN"/>
        </w:rPr>
        <w:t>四</w:t>
      </w:r>
      <w:r>
        <w:rPr>
          <w:rFonts w:hint="eastAsia" w:ascii="宋体" w:hAnsi="宋体" w:eastAsia="宋体" w:cs="宋体"/>
          <w:b/>
          <w:sz w:val="32"/>
          <w:szCs w:val="32"/>
        </w:rPr>
        <w:t xml:space="preserve">部分   </w:t>
      </w:r>
      <w:r>
        <w:rPr>
          <w:rFonts w:hint="eastAsia" w:ascii="宋体" w:hAnsi="宋体" w:eastAsia="宋体" w:cs="宋体"/>
          <w:b/>
          <w:sz w:val="32"/>
          <w:szCs w:val="32"/>
          <w:lang w:val="en-US" w:eastAsia="zh-CN"/>
        </w:rPr>
        <w:t>建筑业</w:t>
      </w:r>
      <w:r>
        <w:rPr>
          <w:rFonts w:hint="eastAsia" w:ascii="宋体" w:hAnsi="宋体" w:eastAsia="宋体" w:cs="宋体"/>
          <w:b/>
          <w:sz w:val="32"/>
          <w:szCs w:val="32"/>
        </w:rPr>
        <w:t>社保入税的影响</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 w:hAnsi="仿宋" w:eastAsia="仿宋" w:cs="仿宋"/>
          <w:i w:val="0"/>
          <w:caps w:val="0"/>
          <w:color w:val="auto"/>
          <w:spacing w:val="0"/>
          <w:kern w:val="0"/>
          <w:sz w:val="30"/>
          <w:szCs w:val="30"/>
          <w:lang w:val="en-US" w:eastAsia="zh-CN" w:bidi="ar"/>
        </w:rPr>
      </w:pPr>
      <w:r>
        <w:rPr>
          <w:rFonts w:hint="eastAsia" w:ascii="仿宋" w:hAnsi="仿宋" w:eastAsia="仿宋" w:cs="仿宋"/>
          <w:i w:val="0"/>
          <w:caps w:val="0"/>
          <w:color w:val="auto"/>
          <w:spacing w:val="0"/>
          <w:kern w:val="0"/>
          <w:sz w:val="30"/>
          <w:szCs w:val="30"/>
          <w:lang w:val="en-US" w:eastAsia="zh-CN" w:bidi="ar"/>
        </w:rPr>
        <w:t>2020年全面开展社保减免，但减免政策实施后，我们的后续问题都有啥？社保有免有管，面对管的现状会计该如何操作？2021年执行到期的新政都有哪些？关注的要点是什么？</w:t>
      </w:r>
    </w:p>
    <w:p>
      <w:pPr>
        <w:keepNext w:val="0"/>
        <w:keepLines w:val="0"/>
        <w:pageBreakBefore w:val="0"/>
        <w:kinsoku/>
        <w:wordWrap/>
        <w:overflowPunct/>
        <w:topLinePunct w:val="0"/>
        <w:autoSpaceDE/>
        <w:autoSpaceDN/>
        <w:bidi w:val="0"/>
        <w:spacing w:line="360" w:lineRule="auto"/>
        <w:ind w:firstLine="643" w:firstLineChars="200"/>
        <w:jc w:val="both"/>
        <w:textAlignment w:val="auto"/>
        <w:rPr>
          <w:rFonts w:hint="eastAsia" w:ascii="宋体" w:hAnsi="宋体" w:eastAsia="宋体" w:cs="宋体"/>
          <w:b/>
          <w:sz w:val="32"/>
          <w:szCs w:val="32"/>
          <w:lang w:val="en-US" w:eastAsia="zh-CN"/>
        </w:rPr>
      </w:pPr>
      <w:r>
        <w:rPr>
          <w:rFonts w:hint="eastAsia" w:ascii="宋体" w:hAnsi="宋体" w:eastAsia="宋体" w:cs="宋体"/>
          <w:b/>
          <w:sz w:val="32"/>
          <w:szCs w:val="32"/>
          <w:lang w:val="en-US" w:eastAsia="zh-CN"/>
        </w:rPr>
        <w:t>一、社保“入税”背景分析</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 w:hAnsi="仿宋" w:eastAsia="仿宋" w:cs="仿宋"/>
          <w:i w:val="0"/>
          <w:caps w:val="0"/>
          <w:color w:val="auto"/>
          <w:spacing w:val="0"/>
          <w:kern w:val="0"/>
          <w:sz w:val="30"/>
          <w:szCs w:val="30"/>
          <w:lang w:val="en-US" w:eastAsia="zh-CN" w:bidi="ar"/>
        </w:rPr>
      </w:pPr>
      <w:r>
        <w:rPr>
          <w:rFonts w:hint="eastAsia" w:ascii="仿宋" w:hAnsi="仿宋" w:eastAsia="仿宋" w:cs="仿宋"/>
          <w:i w:val="0"/>
          <w:caps w:val="0"/>
          <w:color w:val="auto"/>
          <w:spacing w:val="0"/>
          <w:kern w:val="0"/>
          <w:sz w:val="30"/>
          <w:szCs w:val="30"/>
          <w:lang w:val="en-US" w:eastAsia="zh-CN" w:bidi="ar"/>
        </w:rPr>
        <w:t>（一）社保规定与目前现状分析</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 w:hAnsi="仿宋" w:eastAsia="仿宋" w:cs="仿宋"/>
          <w:i w:val="0"/>
          <w:caps w:val="0"/>
          <w:color w:val="auto"/>
          <w:spacing w:val="0"/>
          <w:kern w:val="0"/>
          <w:sz w:val="30"/>
          <w:szCs w:val="30"/>
          <w:lang w:val="en-US" w:eastAsia="zh-CN" w:bidi="ar"/>
        </w:rPr>
      </w:pPr>
      <w:r>
        <w:rPr>
          <w:rFonts w:hint="eastAsia" w:ascii="仿宋" w:hAnsi="仿宋" w:eastAsia="仿宋" w:cs="仿宋"/>
          <w:i w:val="0"/>
          <w:caps w:val="0"/>
          <w:color w:val="auto"/>
          <w:spacing w:val="0"/>
          <w:kern w:val="0"/>
          <w:sz w:val="30"/>
          <w:szCs w:val="30"/>
          <w:lang w:val="en-US" w:eastAsia="zh-CN" w:bidi="ar"/>
        </w:rPr>
        <w:t>（二）重新定义“社保”</w:t>
      </w:r>
    </w:p>
    <w:p>
      <w:pPr>
        <w:keepNext w:val="0"/>
        <w:keepLines w:val="0"/>
        <w:pageBreakBefore w:val="0"/>
        <w:kinsoku/>
        <w:wordWrap/>
        <w:overflowPunct/>
        <w:topLinePunct w:val="0"/>
        <w:autoSpaceDE/>
        <w:autoSpaceDN/>
        <w:bidi w:val="0"/>
        <w:spacing w:line="360" w:lineRule="auto"/>
        <w:ind w:firstLine="643" w:firstLineChars="200"/>
        <w:jc w:val="both"/>
        <w:textAlignment w:val="auto"/>
        <w:rPr>
          <w:rFonts w:hint="eastAsia" w:ascii="宋体" w:hAnsi="宋体" w:eastAsia="宋体" w:cs="宋体"/>
          <w:b/>
          <w:sz w:val="32"/>
          <w:szCs w:val="32"/>
          <w:lang w:val="en-US" w:eastAsia="zh-CN"/>
        </w:rPr>
      </w:pPr>
      <w:r>
        <w:rPr>
          <w:rFonts w:hint="eastAsia" w:ascii="宋体" w:hAnsi="宋体" w:eastAsia="宋体" w:cs="宋体"/>
          <w:b/>
          <w:sz w:val="32"/>
          <w:szCs w:val="32"/>
          <w:lang w:val="en-US" w:eastAsia="zh-CN"/>
        </w:rPr>
        <w:t>二、社保“入税”主要政策介绍</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 w:hAnsi="仿宋" w:eastAsia="仿宋" w:cs="仿宋"/>
          <w:i w:val="0"/>
          <w:caps w:val="0"/>
          <w:color w:val="auto"/>
          <w:spacing w:val="0"/>
          <w:kern w:val="0"/>
          <w:sz w:val="30"/>
          <w:szCs w:val="30"/>
          <w:lang w:val="en-US" w:eastAsia="zh-CN" w:bidi="ar"/>
        </w:rPr>
      </w:pPr>
      <w:r>
        <w:rPr>
          <w:rFonts w:hint="eastAsia" w:ascii="仿宋" w:hAnsi="仿宋" w:eastAsia="仿宋" w:cs="仿宋"/>
          <w:i w:val="0"/>
          <w:caps w:val="0"/>
          <w:color w:val="auto"/>
          <w:spacing w:val="0"/>
          <w:kern w:val="0"/>
          <w:sz w:val="30"/>
          <w:szCs w:val="30"/>
          <w:lang w:val="en-US" w:eastAsia="zh-CN" w:bidi="ar"/>
        </w:rPr>
        <w:t>（一）社保“入税”基本规定与原则</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 w:hAnsi="仿宋" w:eastAsia="仿宋" w:cs="仿宋"/>
          <w:i w:val="0"/>
          <w:caps w:val="0"/>
          <w:color w:val="auto"/>
          <w:spacing w:val="0"/>
          <w:kern w:val="0"/>
          <w:sz w:val="30"/>
          <w:szCs w:val="30"/>
          <w:lang w:val="en-US" w:eastAsia="zh-CN" w:bidi="ar"/>
        </w:rPr>
      </w:pPr>
      <w:r>
        <w:rPr>
          <w:rFonts w:hint="eastAsia" w:ascii="仿宋" w:hAnsi="仿宋" w:eastAsia="仿宋" w:cs="仿宋"/>
          <w:i w:val="0"/>
          <w:caps w:val="0"/>
          <w:color w:val="auto"/>
          <w:spacing w:val="0"/>
          <w:kern w:val="0"/>
          <w:sz w:val="30"/>
          <w:szCs w:val="30"/>
          <w:lang w:val="en-US" w:eastAsia="zh-CN" w:bidi="ar"/>
        </w:rPr>
        <w:t>（二）常见社保知识介绍</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 w:hAnsi="仿宋" w:eastAsia="仿宋" w:cs="仿宋"/>
          <w:i w:val="0"/>
          <w:caps w:val="0"/>
          <w:color w:val="auto"/>
          <w:spacing w:val="0"/>
          <w:kern w:val="0"/>
          <w:sz w:val="30"/>
          <w:szCs w:val="30"/>
          <w:lang w:val="en-US" w:eastAsia="zh-CN" w:bidi="ar"/>
        </w:rPr>
      </w:pPr>
      <w:r>
        <w:rPr>
          <w:rFonts w:hint="eastAsia" w:ascii="仿宋" w:hAnsi="仿宋" w:eastAsia="仿宋" w:cs="仿宋"/>
          <w:i w:val="0"/>
          <w:caps w:val="0"/>
          <w:color w:val="auto"/>
          <w:spacing w:val="0"/>
          <w:kern w:val="0"/>
          <w:sz w:val="30"/>
          <w:szCs w:val="30"/>
          <w:lang w:val="en-US" w:eastAsia="zh-CN" w:bidi="ar"/>
        </w:rPr>
        <w:t>1、正式工、临时工、全日制、非全日制</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 w:hAnsi="仿宋" w:eastAsia="仿宋" w:cs="仿宋"/>
          <w:i w:val="0"/>
          <w:caps w:val="0"/>
          <w:color w:val="auto"/>
          <w:spacing w:val="0"/>
          <w:kern w:val="0"/>
          <w:sz w:val="30"/>
          <w:szCs w:val="30"/>
          <w:lang w:val="en-US" w:eastAsia="zh-CN" w:bidi="ar"/>
        </w:rPr>
      </w:pPr>
      <w:r>
        <w:rPr>
          <w:rFonts w:hint="eastAsia" w:ascii="仿宋" w:hAnsi="仿宋" w:eastAsia="仿宋" w:cs="仿宋"/>
          <w:i w:val="0"/>
          <w:caps w:val="0"/>
          <w:color w:val="auto"/>
          <w:spacing w:val="0"/>
          <w:kern w:val="0"/>
          <w:sz w:val="30"/>
          <w:szCs w:val="30"/>
          <w:lang w:val="en-US" w:eastAsia="zh-CN" w:bidi="ar"/>
        </w:rPr>
        <w:t>2、劳动与劳务</w:t>
      </w:r>
    </w:p>
    <w:p>
      <w:pPr>
        <w:keepNext w:val="0"/>
        <w:keepLines w:val="0"/>
        <w:pageBreakBefore w:val="0"/>
        <w:kinsoku/>
        <w:wordWrap/>
        <w:overflowPunct/>
        <w:topLinePunct w:val="0"/>
        <w:autoSpaceDE/>
        <w:autoSpaceDN/>
        <w:bidi w:val="0"/>
        <w:spacing w:line="360" w:lineRule="auto"/>
        <w:ind w:firstLine="643" w:firstLineChars="200"/>
        <w:jc w:val="both"/>
        <w:textAlignment w:val="auto"/>
        <w:rPr>
          <w:rFonts w:hint="eastAsia" w:ascii="宋体" w:hAnsi="宋体" w:eastAsia="宋体" w:cs="宋体"/>
          <w:b/>
          <w:sz w:val="32"/>
          <w:szCs w:val="32"/>
          <w:lang w:val="en-US" w:eastAsia="zh-CN"/>
        </w:rPr>
      </w:pPr>
      <w:r>
        <w:rPr>
          <w:rFonts w:hint="eastAsia" w:ascii="宋体" w:hAnsi="宋体" w:eastAsia="宋体" w:cs="宋体"/>
          <w:b/>
          <w:sz w:val="32"/>
          <w:szCs w:val="32"/>
          <w:lang w:val="en-US" w:eastAsia="zh-CN"/>
        </w:rPr>
        <w:t>三、回答您关注的热点的问题</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outlineLvl w:val="9"/>
        <w:rPr>
          <w:rFonts w:hint="eastAsia" w:ascii="仿宋" w:hAnsi="仿宋" w:eastAsia="仿宋" w:cs="仿宋"/>
          <w:i w:val="0"/>
          <w:caps w:val="0"/>
          <w:color w:val="auto"/>
          <w:spacing w:val="0"/>
          <w:kern w:val="0"/>
          <w:sz w:val="30"/>
          <w:szCs w:val="30"/>
          <w:lang w:val="en-US" w:eastAsia="zh-CN" w:bidi="ar"/>
        </w:rPr>
      </w:pPr>
      <w:r>
        <w:rPr>
          <w:rFonts w:hint="eastAsia" w:ascii="仿宋" w:hAnsi="仿宋" w:eastAsia="仿宋" w:cs="仿宋"/>
          <w:i w:val="0"/>
          <w:caps w:val="0"/>
          <w:color w:val="auto"/>
          <w:spacing w:val="0"/>
          <w:kern w:val="0"/>
          <w:sz w:val="30"/>
          <w:szCs w:val="30"/>
          <w:lang w:val="en-US" w:eastAsia="zh-CN" w:bidi="ar"/>
        </w:rPr>
        <w:t>1、建筑业员工在老家有新农合，坚持不在公司缴纳社保，这样对公司有什么影响？</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outlineLvl w:val="9"/>
        <w:rPr>
          <w:rFonts w:hint="eastAsia" w:ascii="仿宋" w:hAnsi="仿宋" w:eastAsia="仿宋" w:cs="仿宋"/>
          <w:i w:val="0"/>
          <w:caps w:val="0"/>
          <w:color w:val="auto"/>
          <w:spacing w:val="0"/>
          <w:kern w:val="0"/>
          <w:sz w:val="30"/>
          <w:szCs w:val="30"/>
          <w:lang w:val="en-US" w:eastAsia="zh-CN" w:bidi="ar"/>
        </w:rPr>
      </w:pPr>
      <w:r>
        <w:rPr>
          <w:rFonts w:hint="eastAsia" w:ascii="仿宋" w:hAnsi="仿宋" w:eastAsia="仿宋" w:cs="仿宋"/>
          <w:i w:val="0"/>
          <w:caps w:val="0"/>
          <w:color w:val="auto"/>
          <w:spacing w:val="0"/>
          <w:kern w:val="0"/>
          <w:sz w:val="30"/>
          <w:szCs w:val="30"/>
          <w:lang w:val="en-US" w:eastAsia="zh-CN" w:bidi="ar"/>
        </w:rPr>
        <w:t>2、建筑公司员工流动性较大，能不能不缴纳社保？不交有什么风险？</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outlineLvl w:val="9"/>
        <w:rPr>
          <w:rFonts w:hint="eastAsia" w:ascii="仿宋" w:hAnsi="仿宋" w:eastAsia="仿宋" w:cs="仿宋"/>
          <w:i w:val="0"/>
          <w:caps w:val="0"/>
          <w:color w:val="auto"/>
          <w:spacing w:val="0"/>
          <w:kern w:val="0"/>
          <w:sz w:val="30"/>
          <w:szCs w:val="30"/>
          <w:lang w:val="en-US" w:eastAsia="zh-CN" w:bidi="ar"/>
        </w:rPr>
      </w:pPr>
      <w:r>
        <w:rPr>
          <w:rFonts w:hint="eastAsia" w:ascii="仿宋" w:hAnsi="仿宋" w:eastAsia="仿宋" w:cs="仿宋"/>
          <w:i w:val="0"/>
          <w:caps w:val="0"/>
          <w:color w:val="auto"/>
          <w:spacing w:val="0"/>
          <w:kern w:val="0"/>
          <w:sz w:val="30"/>
          <w:szCs w:val="30"/>
          <w:lang w:val="en-US" w:eastAsia="zh-CN" w:bidi="ar"/>
        </w:rPr>
        <w:t>3、社保入税了会让企业补交之前的社保吗？</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outlineLvl w:val="9"/>
        <w:rPr>
          <w:rFonts w:hint="eastAsia" w:ascii="仿宋" w:hAnsi="仿宋" w:eastAsia="仿宋" w:cs="仿宋"/>
          <w:i w:val="0"/>
          <w:caps w:val="0"/>
          <w:color w:val="auto"/>
          <w:spacing w:val="0"/>
          <w:kern w:val="0"/>
          <w:sz w:val="30"/>
          <w:szCs w:val="30"/>
          <w:lang w:val="en-US" w:eastAsia="zh-CN" w:bidi="ar"/>
        </w:rPr>
      </w:pPr>
      <w:r>
        <w:rPr>
          <w:rFonts w:hint="eastAsia" w:ascii="仿宋" w:hAnsi="仿宋" w:eastAsia="仿宋" w:cs="仿宋"/>
          <w:i w:val="0"/>
          <w:caps w:val="0"/>
          <w:color w:val="auto"/>
          <w:spacing w:val="0"/>
          <w:kern w:val="0"/>
          <w:sz w:val="30"/>
          <w:szCs w:val="30"/>
          <w:lang w:val="en-US" w:eastAsia="zh-CN" w:bidi="ar"/>
        </w:rPr>
        <w:t>4、疫情的时候很多企业个别月份是没有工资的，但是个人社保是正常申报的，如何进行</w:t>
      </w:r>
      <w:bookmarkStart w:id="4" w:name="_GoBack"/>
      <w:bookmarkEnd w:id="4"/>
      <w:r>
        <w:rPr>
          <w:rFonts w:hint="eastAsia" w:ascii="仿宋" w:hAnsi="仿宋" w:eastAsia="仿宋" w:cs="仿宋"/>
          <w:i w:val="0"/>
          <w:caps w:val="0"/>
          <w:color w:val="auto"/>
          <w:spacing w:val="0"/>
          <w:kern w:val="0"/>
          <w:sz w:val="30"/>
          <w:szCs w:val="30"/>
          <w:lang w:val="en-US" w:eastAsia="zh-CN" w:bidi="ar"/>
        </w:rPr>
        <w:t>账务处理？疫情期间0工资有什么风险吗？</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outlineLvl w:val="9"/>
        <w:rPr>
          <w:rFonts w:hint="eastAsia" w:ascii="仿宋" w:hAnsi="仿宋" w:eastAsia="仿宋" w:cs="仿宋"/>
          <w:i w:val="0"/>
          <w:caps w:val="0"/>
          <w:color w:val="auto"/>
          <w:spacing w:val="0"/>
          <w:kern w:val="0"/>
          <w:sz w:val="30"/>
          <w:szCs w:val="30"/>
          <w:lang w:val="en-US" w:eastAsia="zh-CN" w:bidi="ar"/>
        </w:rPr>
      </w:pPr>
      <w:r>
        <w:rPr>
          <w:rFonts w:hint="eastAsia" w:ascii="仿宋" w:hAnsi="仿宋" w:eastAsia="仿宋" w:cs="仿宋"/>
          <w:i w:val="0"/>
          <w:caps w:val="0"/>
          <w:color w:val="auto"/>
          <w:spacing w:val="0"/>
          <w:kern w:val="0"/>
          <w:sz w:val="30"/>
          <w:szCs w:val="30"/>
          <w:lang w:val="en-US" w:eastAsia="zh-CN" w:bidi="ar"/>
        </w:rPr>
        <w:t>本课程将结合2021年以来开始实施的重点新政结合企业实际业务，通过企业所得税，个人所得税及社保等热点问题的解析，为2021年的汇缴及企业薪酬安排工作奠定坚实的基础。</w:t>
      </w:r>
    </w:p>
    <w:sectPr>
      <w:footerReference r:id="rId3" w:type="default"/>
      <w:pgSz w:w="11906" w:h="16838"/>
      <w:pgMar w:top="1304" w:right="1701" w:bottom="1304" w:left="1701"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3E29BE"/>
    <w:multiLevelType w:val="singleLevel"/>
    <w:tmpl w:val="913E29BE"/>
    <w:lvl w:ilvl="0" w:tentative="0">
      <w:start w:val="1"/>
      <w:numFmt w:val="chineseCounting"/>
      <w:suff w:val="nothing"/>
      <w:lvlText w:val="%1、"/>
      <w:lvlJc w:val="left"/>
      <w:pPr>
        <w:ind w:left="642" w:firstLine="0"/>
      </w:pPr>
      <w:rPr>
        <w:rFonts w:hint="eastAsia"/>
      </w:rPr>
    </w:lvl>
  </w:abstractNum>
  <w:abstractNum w:abstractNumId="1">
    <w:nsid w:val="45924217"/>
    <w:multiLevelType w:val="multilevel"/>
    <w:tmpl w:val="45924217"/>
    <w:lvl w:ilvl="0" w:tentative="0">
      <w:start w:val="1"/>
      <w:numFmt w:val="decimal"/>
      <w:pStyle w:val="9"/>
      <w:lvlText w:val="%1."/>
      <w:lvlJc w:val="left"/>
      <w:pPr>
        <w:ind w:left="420" w:hanging="420"/>
      </w:pPr>
      <w:rPr>
        <w:rFonts w:hint="eastAsia" w:ascii="宋体" w:hAnsi="宋体" w:eastAsia="宋体"/>
        <w:b w:val="0"/>
        <w:i w:val="0"/>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3953169"/>
    <w:multiLevelType w:val="multilevel"/>
    <w:tmpl w:val="53953169"/>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6E44DB60"/>
    <w:multiLevelType w:val="multilevel"/>
    <w:tmpl w:val="6E44DB60"/>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8007E0"/>
    <w:rsid w:val="02220A58"/>
    <w:rsid w:val="06AE4555"/>
    <w:rsid w:val="0A6124FF"/>
    <w:rsid w:val="1F023697"/>
    <w:rsid w:val="20D010CD"/>
    <w:rsid w:val="21A63F48"/>
    <w:rsid w:val="2CF02F06"/>
    <w:rsid w:val="2FF43EB0"/>
    <w:rsid w:val="33566D8C"/>
    <w:rsid w:val="39095D2E"/>
    <w:rsid w:val="3C233DC3"/>
    <w:rsid w:val="3D912BB7"/>
    <w:rsid w:val="40396F43"/>
    <w:rsid w:val="418007E0"/>
    <w:rsid w:val="430E0D60"/>
    <w:rsid w:val="47E25E2A"/>
    <w:rsid w:val="4ECE3543"/>
    <w:rsid w:val="52E450A0"/>
    <w:rsid w:val="53151A46"/>
    <w:rsid w:val="565044C1"/>
    <w:rsid w:val="5B1F04C1"/>
    <w:rsid w:val="5ED9042B"/>
    <w:rsid w:val="63B32D45"/>
    <w:rsid w:val="663D29B4"/>
    <w:rsid w:val="6A514DF1"/>
    <w:rsid w:val="6A761AE4"/>
    <w:rsid w:val="6AAE5627"/>
    <w:rsid w:val="6C5379D0"/>
    <w:rsid w:val="6DC058CD"/>
    <w:rsid w:val="6EA6212C"/>
    <w:rsid w:val="71B142DB"/>
    <w:rsid w:val="77167E57"/>
    <w:rsid w:val="78E65F03"/>
    <w:rsid w:val="79233872"/>
    <w:rsid w:val="7B895E8B"/>
    <w:rsid w:val="7D4800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qFormat/>
    <w:uiPriority w:val="0"/>
    <w:rPr>
      <w:b/>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9">
    <w:name w:val="No Spacing"/>
    <w:basedOn w:val="10"/>
    <w:qFormat/>
    <w:uiPriority w:val="1"/>
    <w:pPr>
      <w:numPr>
        <w:ilvl w:val="0"/>
        <w:numId w:val="1"/>
      </w:numPr>
      <w:spacing w:line="360" w:lineRule="auto"/>
      <w:ind w:firstLineChars="0"/>
    </w:pPr>
    <w:rPr>
      <w:rFonts w:ascii="仿宋" w:hAnsi="仿宋" w:eastAsia="仿宋" w:cs="Times New Roman"/>
      <w:color w:val="404040"/>
      <w:sz w:val="24"/>
      <w:szCs w:val="28"/>
    </w:rPr>
  </w:style>
  <w:style w:type="paragraph" w:styleId="10">
    <w:name w:val="List Paragraph"/>
    <w:basedOn w:val="1"/>
    <w:semiHidden/>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2020-07-27T01:20:00Z</dcterms:created>
  <dc:creator>悠然 ~自得</dc:creator>
  <cp:lastModifiedBy>赵英</cp:lastModifiedBy>
  <cp:lastPrinted>2020-11-23T07:44:00Z</cp:lastPrinted>
  <dcterms:modified xsi:type="dcterms:W3CDTF">2021-03-22T02:49:38Z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