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b/>
          <w:bCs/>
          <w:color w:val="000000"/>
          <w:spacing w:val="-14"/>
          <w:kern w:val="0"/>
          <w:sz w:val="30"/>
          <w:szCs w:val="30"/>
          <w:lang w:val="en-US" w:eastAsia="zh-CN" w:bidi="ar-SA"/>
        </w:rPr>
      </w:pPr>
      <w:r>
        <w:rPr>
          <w:rFonts w:hint="eastAsia" w:ascii="宋体" w:hAnsi="宋体" w:eastAsia="宋体" w:cs="宋体"/>
          <w:b/>
          <w:bCs/>
          <w:color w:val="000000"/>
          <w:spacing w:val="-14"/>
          <w:kern w:val="0"/>
          <w:sz w:val="30"/>
          <w:szCs w:val="30"/>
          <w:lang w:val="en-US" w:eastAsia="zh-CN" w:bidi="ar-SA"/>
        </w:rPr>
        <w:t>附件2</w:t>
      </w:r>
    </w:p>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b/>
          <w:bCs/>
          <w:color w:val="000000"/>
          <w:spacing w:val="-14"/>
          <w:kern w:val="0"/>
          <w:sz w:val="32"/>
          <w:szCs w:val="32"/>
          <w:lang w:val="en-US" w:eastAsia="zh-CN" w:bidi="ar-SA"/>
        </w:rPr>
      </w:pPr>
      <w:r>
        <w:rPr>
          <w:rFonts w:hint="eastAsia" w:ascii="宋体" w:hAnsi="宋体" w:eastAsia="宋体" w:cs="宋体"/>
          <w:b/>
          <w:bCs/>
          <w:color w:val="000000"/>
          <w:spacing w:val="-14"/>
          <w:kern w:val="0"/>
          <w:sz w:val="32"/>
          <w:szCs w:val="32"/>
          <w:lang w:val="en-US" w:eastAsia="zh-CN" w:bidi="ar-SA"/>
        </w:rPr>
        <w:t>讲师及课程简介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i w:val="0"/>
          <w:caps w:val="0"/>
          <w:color w:val="auto"/>
          <w:spacing w:val="0"/>
          <w:sz w:val="32"/>
          <w:szCs w:val="32"/>
          <w:lang w:eastAsia="zh-CN"/>
        </w:rPr>
      </w:pPr>
      <w:r>
        <w:rPr>
          <w:rStyle w:val="6"/>
          <w:rFonts w:hint="eastAsia" w:ascii="仿宋" w:hAnsi="仿宋" w:eastAsia="仿宋" w:cs="仿宋"/>
          <w:b/>
          <w:i w:val="0"/>
          <w:caps w:val="0"/>
          <w:color w:val="auto"/>
          <w:spacing w:val="0"/>
          <w:sz w:val="32"/>
          <w:szCs w:val="32"/>
        </w:rPr>
        <w:t>【主讲老师】</w:t>
      </w:r>
      <w:r>
        <w:rPr>
          <w:rFonts w:hint="eastAsia" w:ascii="仿宋" w:hAnsi="仿宋" w:eastAsia="仿宋" w:cs="仿宋"/>
          <w:i w:val="0"/>
          <w:caps w:val="0"/>
          <w:color w:val="auto"/>
          <w:spacing w:val="0"/>
          <w:sz w:val="32"/>
          <w:szCs w:val="32"/>
        </w:rPr>
        <w:t>莫</w:t>
      </w:r>
      <w:r>
        <w:rPr>
          <w:rFonts w:hint="eastAsia" w:ascii="仿宋" w:hAnsi="仿宋" w:eastAsia="仿宋" w:cs="仿宋"/>
          <w:i w:val="0"/>
          <w:caps w:val="0"/>
          <w:color w:val="auto"/>
          <w:spacing w:val="0"/>
          <w:sz w:val="32"/>
          <w:szCs w:val="32"/>
          <w:lang w:val="en-US" w:eastAsia="zh-CN"/>
        </w:rPr>
        <w:t>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00" w:firstLineChars="200"/>
        <w:textAlignment w:val="auto"/>
        <w:outlineLvl w:val="9"/>
        <w:rPr>
          <w:rFonts w:hint="eastAsia" w:ascii="仿宋" w:hAnsi="仿宋" w:eastAsia="仿宋" w:cs="仿宋"/>
          <w:i w:val="0"/>
          <w:caps w:val="0"/>
          <w:color w:val="auto"/>
          <w:spacing w:val="0"/>
          <w:sz w:val="30"/>
          <w:szCs w:val="30"/>
        </w:rPr>
      </w:pPr>
      <w:r>
        <w:rPr>
          <w:rFonts w:hint="eastAsia" w:ascii="仿宋" w:hAnsi="仿宋" w:eastAsia="仿宋" w:cs="仿宋"/>
          <w:i w:val="0"/>
          <w:caps w:val="0"/>
          <w:color w:val="auto"/>
          <w:spacing w:val="0"/>
          <w:sz w:val="30"/>
          <w:szCs w:val="30"/>
        </w:rPr>
        <w:t>注册税务师，国家税务总局师资人才库成员。曾多次参与税务总局相关教程的编写。长期从事税收实务教学工作，洞悉各类疑点，擅长解决企业涉税疑难问题。资深财税专家，讲课经验丰富，深受学员好评。</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【课程收益】</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盘点近期财税新政，</w:t>
      </w:r>
      <w:bookmarkStart w:id="0" w:name="_Hlk59121075"/>
      <w:r>
        <w:rPr>
          <w:rFonts w:hint="eastAsia" w:ascii="仿宋" w:hAnsi="仿宋" w:eastAsia="仿宋" w:cs="仿宋"/>
          <w:i w:val="0"/>
          <w:caps w:val="0"/>
          <w:color w:val="auto"/>
          <w:spacing w:val="0"/>
          <w:kern w:val="0"/>
          <w:sz w:val="30"/>
          <w:szCs w:val="30"/>
          <w:lang w:val="en-US" w:eastAsia="zh-CN" w:bidi="ar"/>
        </w:rPr>
        <w:t>解读政策内涵</w:t>
      </w:r>
      <w:bookmarkEnd w:id="0"/>
      <w:r>
        <w:rPr>
          <w:rFonts w:hint="eastAsia" w:ascii="仿宋" w:hAnsi="仿宋" w:eastAsia="仿宋" w:cs="仿宋"/>
          <w:i w:val="0"/>
          <w:caps w:val="0"/>
          <w:color w:val="auto"/>
          <w:spacing w:val="0"/>
          <w:kern w:val="0"/>
          <w:sz w:val="30"/>
          <w:szCs w:val="30"/>
          <w:lang w:val="en-US" w:eastAsia="zh-CN" w:bidi="ar"/>
        </w:rPr>
        <w:t>；</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解析税政处理方式，</w:t>
      </w:r>
      <w:bookmarkStart w:id="1" w:name="_Hlk59121093"/>
      <w:r>
        <w:rPr>
          <w:rFonts w:hint="eastAsia" w:ascii="仿宋" w:hAnsi="仿宋" w:eastAsia="仿宋" w:cs="仿宋"/>
          <w:i w:val="0"/>
          <w:caps w:val="0"/>
          <w:color w:val="auto"/>
          <w:spacing w:val="0"/>
          <w:kern w:val="0"/>
          <w:sz w:val="30"/>
          <w:szCs w:val="30"/>
          <w:lang w:val="en-US" w:eastAsia="zh-CN" w:bidi="ar"/>
        </w:rPr>
        <w:t>防控财税风险</w:t>
      </w:r>
      <w:bookmarkEnd w:id="1"/>
      <w:r>
        <w:rPr>
          <w:rFonts w:hint="eastAsia" w:ascii="仿宋" w:hAnsi="仿宋" w:eastAsia="仿宋" w:cs="仿宋"/>
          <w:i w:val="0"/>
          <w:caps w:val="0"/>
          <w:color w:val="auto"/>
          <w:spacing w:val="0"/>
          <w:kern w:val="0"/>
          <w:sz w:val="30"/>
          <w:szCs w:val="30"/>
          <w:lang w:val="en-US" w:eastAsia="zh-CN" w:bidi="ar"/>
        </w:rPr>
        <w:t>；</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确保财务数据准确，</w:t>
      </w:r>
      <w:bookmarkStart w:id="2" w:name="_Hlk59121116"/>
      <w:r>
        <w:rPr>
          <w:rFonts w:hint="eastAsia" w:ascii="仿宋" w:hAnsi="仿宋" w:eastAsia="仿宋" w:cs="仿宋"/>
          <w:i w:val="0"/>
          <w:caps w:val="0"/>
          <w:color w:val="auto"/>
          <w:spacing w:val="0"/>
          <w:kern w:val="0"/>
          <w:sz w:val="30"/>
          <w:szCs w:val="30"/>
          <w:lang w:val="en-US" w:eastAsia="zh-CN" w:bidi="ar"/>
        </w:rPr>
        <w:t>打好汇算基础</w:t>
      </w:r>
      <w:bookmarkEnd w:id="2"/>
      <w:r>
        <w:rPr>
          <w:rFonts w:hint="eastAsia" w:ascii="仿宋" w:hAnsi="仿宋" w:eastAsia="仿宋" w:cs="仿宋"/>
          <w:i w:val="0"/>
          <w:caps w:val="0"/>
          <w:color w:val="auto"/>
          <w:spacing w:val="0"/>
          <w:kern w:val="0"/>
          <w:sz w:val="30"/>
          <w:szCs w:val="30"/>
          <w:lang w:val="en-US" w:eastAsia="zh-CN" w:bidi="ar"/>
        </w:rPr>
        <w:t>；</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0"/>
          <w:szCs w:val="30"/>
          <w:lang w:val="en-US" w:eastAsia="zh-CN" w:bidi="ar"/>
        </w:rPr>
        <w:t>了解社保入税新规，把握税务动向</w:t>
      </w:r>
      <w:r>
        <w:rPr>
          <w:rFonts w:hint="eastAsia" w:ascii="仿宋" w:hAnsi="仿宋" w:eastAsia="仿宋" w:cs="仿宋"/>
          <w:i w:val="0"/>
          <w:caps w:val="0"/>
          <w:color w:val="auto"/>
          <w:spacing w:val="0"/>
          <w:kern w:val="0"/>
          <w:sz w:val="32"/>
          <w:szCs w:val="32"/>
          <w:lang w:val="en-US" w:eastAsia="zh-CN" w:bidi="ar"/>
        </w:rPr>
        <w:t>。</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【课程背景】</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2021年新的减税降费政策您了解吗？——3月5日李克强总理作的《政府工作报告》又有新的减税降费政策了。</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您知道吗？年度、季度企业所得税申报表又改了——《国家税务总局关于修订企业所得税年度纳税申报表的公告》（国家税务总局公告2020年第24号）、国家税务总局关于发布《中华人民共和国企业所得税月（季）度预缴纳税申报表（A类）》的公告（国家税务总局公告2021年第3号）。</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这些个人所得税新政你了解吗？——《关于进一步简便优化部分纳税人个人所得税预扣预缴方法的公告》（国家税务总局公告2020年第19号）、《国家税务总局关于办理2020年度个人所得税综合所得汇算清缴事项的公告》（国家税务总局公告2021年第2号）。</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随着金三系统的不断升级，金四系统也必将落地。在放管服不断深化的道路上，一波波新举措也随之悄然来袭。2021年各项最新实施或者出台的新政，都让税务处理规则不断的发生着变化。本次课程将带您回顾我们一同走过的2020，梳理2021年建筑业两会新政、汇算清缴、社保入税和主要风险应对。解读政策，明确业务，理出头绪，保证2021年顺利开局。在2021年的关键时间节点，至关重要的工作就是对企业一年来的账务，数据表间逻辑风险防控等工作进行重点政策实施应用的盘点。确保账内数据无误，表间关系合理，做好财税风险防控，为企业所得税、个人所得税汇算清缴工作打下坚实的基础。</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本课程特邀财税政策研究专家，为您解读最新财税政策。让您对税政变化了如指掌，合理有效控制企业税负、守住财富！</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【课程亮点】</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1、帮您了解最新征管环境、征管手段及财税规划；</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2、助您了解最新税收政策给企业带来的影响；</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3、让您掌握税收风险控制的方法；</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4、让您掌握财税合规调整技巧；</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5、现场回答您关心和担心的热点问题。</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i w:val="0"/>
          <w:caps w:val="0"/>
          <w:color w:val="auto"/>
          <w:spacing w:val="0"/>
          <w:kern w:val="0"/>
          <w:sz w:val="30"/>
          <w:szCs w:val="30"/>
          <w:lang w:val="en-US" w:eastAsia="zh-CN" w:bidi="ar"/>
        </w:rPr>
      </w:pP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b/>
          <w:bCs w:val="0"/>
          <w:color w:val="auto"/>
          <w:sz w:val="28"/>
          <w:szCs w:val="28"/>
        </w:rPr>
      </w:pP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b/>
          <w:bCs w:val="0"/>
          <w:color w:val="FF0000"/>
          <w:sz w:val="28"/>
          <w:szCs w:val="28"/>
        </w:rPr>
      </w:pPr>
      <w:r>
        <w:rPr>
          <w:rFonts w:hint="eastAsia" w:ascii="宋体" w:hAnsi="宋体" w:eastAsia="宋体" w:cs="宋体"/>
          <w:b/>
          <w:bCs w:val="0"/>
          <w:color w:val="auto"/>
          <w:sz w:val="28"/>
          <w:szCs w:val="28"/>
        </w:rPr>
        <w:t>【课程大纲】</w:t>
      </w:r>
    </w:p>
    <w:p>
      <w:pPr>
        <w:keepNext w:val="0"/>
        <w:keepLines w:val="0"/>
        <w:pageBreakBefore w:val="0"/>
        <w:numPr>
          <w:ilvl w:val="0"/>
          <w:numId w:val="0"/>
        </w:numPr>
        <w:kinsoku/>
        <w:wordWrap/>
        <w:overflowPunct/>
        <w:topLinePunct w:val="0"/>
        <w:autoSpaceDE/>
        <w:autoSpaceDN/>
        <w:bidi w:val="0"/>
        <w:spacing w:line="360" w:lineRule="auto"/>
        <w:ind w:left="-360" w:leftChars="0"/>
        <w:jc w:val="center"/>
        <w:textAlignment w:val="auto"/>
        <w:rPr>
          <w:rFonts w:hint="eastAsia" w:ascii="宋体" w:hAnsi="宋体" w:eastAsia="宋体" w:cs="宋体"/>
          <w:b/>
          <w:bCs w:val="0"/>
          <w:sz w:val="28"/>
          <w:szCs w:val="28"/>
          <w:lang w:val="en-US" w:eastAsia="zh-CN"/>
        </w:rPr>
      </w:pPr>
      <w:r>
        <w:rPr>
          <w:rFonts w:hint="eastAsia" w:ascii="宋体" w:hAnsi="宋体" w:eastAsia="宋体" w:cs="宋体"/>
          <w:b/>
          <w:bCs w:val="0"/>
          <w:sz w:val="32"/>
          <w:szCs w:val="32"/>
        </w:rPr>
        <w:t xml:space="preserve">第一部分  </w:t>
      </w:r>
      <w:r>
        <w:rPr>
          <w:rFonts w:hint="eastAsia" w:ascii="宋体" w:hAnsi="宋体" w:eastAsia="宋体" w:cs="宋体"/>
          <w:b/>
          <w:bCs w:val="0"/>
          <w:sz w:val="32"/>
          <w:szCs w:val="32"/>
          <w:lang w:val="en-US" w:eastAsia="zh-CN"/>
        </w:rPr>
        <w:t>两会新政</w:t>
      </w:r>
    </w:p>
    <w:p>
      <w:pPr>
        <w:keepNext w:val="0"/>
        <w:keepLines w:val="0"/>
        <w:pageBreakBefore w:val="0"/>
        <w:widowControl w:val="0"/>
        <w:numPr>
          <w:ilvl w:val="0"/>
          <w:numId w:val="2"/>
        </w:numPr>
        <w:kinsoku/>
        <w:wordWrap/>
        <w:overflowPunct/>
        <w:topLinePunct w:val="0"/>
        <w:autoSpaceDE/>
        <w:autoSpaceDN/>
        <w:bidi w:val="0"/>
        <w:spacing w:line="360" w:lineRule="auto"/>
        <w:ind w:left="642" w:leftChars="0" w:firstLine="0" w:firstLineChars="0"/>
        <w:jc w:val="both"/>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税收部分</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1、继续执行制度性减税政策，延长小规模纳税人增值税优惠等部分阶段性政策执行期限。</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2、将小规模纳税人增值税起征点从月销售额10万元提高到15万元。对小微企业和个体工商户年应纳税所得额不到100万元的部分，在现行优惠政策基础上，再减半征收所得税。（注：19年小规模纳税人增值税起征点从月销售额3万元提高到10万元）</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3、对不裁员少裁员的企业，继续给予必要的财税、金融等政策支持。</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4、精简享受税费优惠政策的办理流程和手续。</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5、延续执行企业研发费用加计扣除75%政策，将制造业企 业加计扣除比例提高到100%。</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6、对先进制造业企业按月全额退还增值税增量留抵税额。</w:t>
      </w:r>
    </w:p>
    <w:p>
      <w:pPr>
        <w:keepNext w:val="0"/>
        <w:keepLines w:val="0"/>
        <w:pageBreakBefore w:val="0"/>
        <w:widowControl w:val="0"/>
        <w:numPr>
          <w:ilvl w:val="0"/>
          <w:numId w:val="2"/>
        </w:numPr>
        <w:kinsoku/>
        <w:wordWrap/>
        <w:overflowPunct/>
        <w:topLinePunct w:val="0"/>
        <w:autoSpaceDE/>
        <w:autoSpaceDN/>
        <w:bidi w:val="0"/>
        <w:spacing w:line="360" w:lineRule="auto"/>
        <w:ind w:left="642" w:leftChars="0" w:firstLine="0" w:firstLineChars="0"/>
        <w:jc w:val="both"/>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社保部分</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1、继续降低失业和工伤保险费率，扩大失业保险返还等阶段性稳岗政策惠及范围，</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2、提高退休人员基本养老金、优抚对象抚恤和生活补助标准。</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3、推进养老保险全国统筹，规范发展第三支柱养老保险。</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4、完善全国统一的社会保险公共服务平台。</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5、加强军人军属、退役军人和其他优抚对象优待工作，健全退役军人工作体系和保障制度。</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6、继续实施失业保险保障扩围政策。促进医养康养相结合，稳步推进长期护理保险制度试点。</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7、继续对灵活就业人员给予社保补贴，推动放开在就业地参加社会保险的户籍限制。</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8、居民医保和基本公共卫生服务经费人均财政补助标准分别再增加30元和5元。</w:t>
      </w:r>
    </w:p>
    <w:p>
      <w:pPr>
        <w:keepNext w:val="0"/>
        <w:keepLines w:val="0"/>
        <w:pageBreakBefore w:val="0"/>
        <w:widowControl w:val="0"/>
        <w:numPr>
          <w:ilvl w:val="0"/>
          <w:numId w:val="0"/>
        </w:numPr>
        <w:kinsoku/>
        <w:wordWrap/>
        <w:overflowPunct/>
        <w:topLinePunct w:val="0"/>
        <w:autoSpaceDE/>
        <w:autoSpaceDN/>
        <w:bidi w:val="0"/>
        <w:spacing w:line="360" w:lineRule="auto"/>
        <w:ind w:firstLine="562" w:firstLineChars="200"/>
        <w:jc w:val="both"/>
        <w:textAlignment w:val="auto"/>
        <w:rPr>
          <w:rFonts w:hint="eastAsia" w:ascii="宋体" w:hAnsi="宋体" w:eastAsia="宋体" w:cs="宋体"/>
          <w:b/>
          <w:sz w:val="28"/>
          <w:szCs w:val="28"/>
          <w:lang w:val="en-US" w:eastAsia="zh-CN"/>
        </w:rPr>
      </w:pPr>
    </w:p>
    <w:p>
      <w:pPr>
        <w:keepNext w:val="0"/>
        <w:keepLines w:val="0"/>
        <w:pageBreakBefore w:val="0"/>
        <w:numPr>
          <w:ilvl w:val="0"/>
          <w:numId w:val="3"/>
        </w:numPr>
        <w:kinsoku/>
        <w:wordWrap/>
        <w:overflowPunct/>
        <w:topLinePunct w:val="0"/>
        <w:autoSpaceDE/>
        <w:autoSpaceDN/>
        <w:bidi w:val="0"/>
        <w:spacing w:line="360" w:lineRule="auto"/>
        <w:ind w:left="0"/>
        <w:jc w:val="center"/>
        <w:textAlignment w:val="auto"/>
        <w:rPr>
          <w:rFonts w:hint="eastAsia" w:ascii="宋体" w:hAnsi="宋体" w:eastAsia="宋体" w:cs="宋体"/>
          <w:b/>
          <w:sz w:val="32"/>
          <w:szCs w:val="32"/>
        </w:rPr>
      </w:pPr>
      <w:r>
        <w:rPr>
          <w:rFonts w:hint="eastAsia" w:ascii="宋体" w:hAnsi="宋体" w:eastAsia="宋体" w:cs="宋体"/>
          <w:b/>
          <w:sz w:val="32"/>
          <w:szCs w:val="32"/>
          <w:lang w:val="en-US" w:eastAsia="zh-CN"/>
        </w:rPr>
        <w:t>第二部分    建筑业</w:t>
      </w:r>
      <w:r>
        <w:rPr>
          <w:rFonts w:hint="eastAsia" w:ascii="宋体" w:hAnsi="宋体" w:eastAsia="宋体" w:cs="宋体"/>
          <w:b/>
          <w:sz w:val="32"/>
          <w:szCs w:val="32"/>
        </w:rPr>
        <w:t>企业所得税汇算清缴</w:t>
      </w:r>
    </w:p>
    <w:p>
      <w:pPr>
        <w:keepNext w:val="0"/>
        <w:keepLines w:val="0"/>
        <w:pageBreakBefore w:val="0"/>
        <w:kinsoku/>
        <w:wordWrap/>
        <w:overflowPunct/>
        <w:topLinePunct w:val="0"/>
        <w:autoSpaceDE/>
        <w:autoSpaceDN/>
        <w:bidi w:val="0"/>
        <w:spacing w:line="360" w:lineRule="auto"/>
        <w:ind w:firstLine="643" w:firstLineChars="200"/>
        <w:textAlignment w:val="auto"/>
        <w:rPr>
          <w:rFonts w:hint="eastAsia" w:ascii="宋体" w:hAnsi="宋体" w:eastAsia="宋体" w:cs="宋体"/>
          <w:b/>
          <w:sz w:val="28"/>
          <w:szCs w:val="28"/>
        </w:rPr>
      </w:pPr>
      <w:r>
        <w:rPr>
          <w:rFonts w:hint="eastAsia" w:ascii="宋体" w:hAnsi="宋体" w:eastAsia="宋体" w:cs="宋体"/>
          <w:b/>
          <w:sz w:val="32"/>
          <w:szCs w:val="32"/>
        </w:rPr>
        <w:t>一、</w:t>
      </w:r>
      <w:bookmarkStart w:id="3" w:name="_Hlk59128579"/>
      <w:r>
        <w:rPr>
          <w:rFonts w:hint="eastAsia" w:ascii="宋体" w:hAnsi="宋体" w:eastAsia="宋体" w:cs="宋体"/>
          <w:b/>
          <w:sz w:val="32"/>
          <w:szCs w:val="32"/>
        </w:rPr>
        <w:t>近期主要企业所得税政策解读</w:t>
      </w:r>
    </w:p>
    <w:bookmarkEnd w:id="3"/>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（一）建筑业疫情期间固定资产加速折旧是如何规定必须要享受吗？如何判断企业享受还是不享受？有什么利弊？</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（二）已经到期的固定资产加速折旧政策的实施要点有哪些？如何选择享受，都需要注意哪些问题？</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 xml:space="preserve">（三）建筑业企业所得税主要纳税调整事项 </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（四）建筑业可以研发费用加计扣除吗？</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（五）建筑公司未取得合规发票如何补救？补开、换开发票、其他扣税凭证的期限？</w:t>
      </w:r>
    </w:p>
    <w:p>
      <w:pPr>
        <w:keepNext w:val="0"/>
        <w:keepLines w:val="0"/>
        <w:pageBreakBefore w:val="0"/>
        <w:kinsoku/>
        <w:wordWrap/>
        <w:overflowPunct/>
        <w:topLinePunct w:val="0"/>
        <w:autoSpaceDE/>
        <w:autoSpaceDN/>
        <w:bidi w:val="0"/>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二、202</w:t>
      </w:r>
      <w:r>
        <w:rPr>
          <w:rFonts w:hint="eastAsia" w:ascii="宋体" w:hAnsi="宋体" w:eastAsia="宋体" w:cs="宋体"/>
          <w:b/>
          <w:bCs/>
          <w:sz w:val="32"/>
          <w:szCs w:val="32"/>
          <w:lang w:val="en-US" w:eastAsia="zh-CN"/>
        </w:rPr>
        <w:t>1</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建筑业</w:t>
      </w:r>
      <w:r>
        <w:rPr>
          <w:rFonts w:hint="eastAsia" w:ascii="宋体" w:hAnsi="宋体" w:eastAsia="宋体" w:cs="宋体"/>
          <w:b/>
          <w:bCs/>
          <w:sz w:val="32"/>
          <w:szCs w:val="32"/>
        </w:rPr>
        <w:t>企业所得税主要税收风险提示</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（一）建筑业各类财务报表、纳税申报表等表表之间关联数据勾稽关系预警风险。</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（二）建筑业主要会计科目企业所得税风险提示。</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（三）建安企业会计收入和所得税收入与增值税收入时间、金额等差异处理。</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（四）建筑业纳税申报时常见风险提示及防范措施。</w:t>
      </w:r>
    </w:p>
    <w:p>
      <w:pPr>
        <w:keepNext w:val="0"/>
        <w:keepLines w:val="0"/>
        <w:pageBreakBefore w:val="0"/>
        <w:kinsoku/>
        <w:wordWrap/>
        <w:overflowPunct/>
        <w:topLinePunct w:val="0"/>
        <w:autoSpaceDE/>
        <w:autoSpaceDN/>
        <w:bidi w:val="0"/>
        <w:spacing w:line="360" w:lineRule="auto"/>
        <w:ind w:firstLine="643" w:firstLineChars="200"/>
        <w:textAlignment w:val="auto"/>
        <w:rPr>
          <w:rFonts w:hint="eastAsia" w:ascii="宋体" w:hAnsi="宋体" w:eastAsia="宋体" w:cs="宋体"/>
          <w:b/>
          <w:sz w:val="32"/>
          <w:szCs w:val="32"/>
        </w:rPr>
      </w:pPr>
      <w:r>
        <w:rPr>
          <w:rFonts w:hint="eastAsia" w:ascii="宋体" w:hAnsi="宋体" w:eastAsia="宋体" w:cs="宋体"/>
          <w:b/>
          <w:sz w:val="32"/>
          <w:szCs w:val="32"/>
        </w:rPr>
        <w:t>三、202</w:t>
      </w:r>
      <w:r>
        <w:rPr>
          <w:rFonts w:hint="eastAsia" w:ascii="宋体" w:hAnsi="宋体" w:eastAsia="宋体" w:cs="宋体"/>
          <w:b/>
          <w:sz w:val="32"/>
          <w:szCs w:val="32"/>
          <w:lang w:val="en-US" w:eastAsia="zh-CN"/>
        </w:rPr>
        <w:t>1</w:t>
      </w:r>
      <w:r>
        <w:rPr>
          <w:rFonts w:hint="eastAsia" w:ascii="宋体" w:hAnsi="宋体" w:eastAsia="宋体" w:cs="宋体"/>
          <w:b/>
          <w:sz w:val="32"/>
          <w:szCs w:val="32"/>
        </w:rPr>
        <w:t>年</w:t>
      </w:r>
      <w:r>
        <w:rPr>
          <w:rFonts w:hint="eastAsia" w:ascii="宋体" w:hAnsi="宋体" w:eastAsia="宋体" w:cs="宋体"/>
          <w:b/>
          <w:sz w:val="32"/>
          <w:szCs w:val="32"/>
          <w:lang w:val="en-US" w:eastAsia="zh-CN"/>
        </w:rPr>
        <w:t>建筑业</w:t>
      </w:r>
      <w:r>
        <w:rPr>
          <w:rFonts w:hint="eastAsia" w:ascii="宋体" w:hAnsi="宋体" w:eastAsia="宋体" w:cs="宋体"/>
          <w:b/>
          <w:sz w:val="32"/>
          <w:szCs w:val="32"/>
        </w:rPr>
        <w:t>企业所得税重点热点问题梳理</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（一）建筑业允许税前扣除的企业员工工资是否必须以企业为员工缴纳社会保险为前提？</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（二）建筑业增值税差额征税的企业所得税处理</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（三）建筑业取得虚开增值税发票企业所得税可否税前扣除？有补救措施吗？</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（四）建筑业应取得发票而未取得发票，但合同、对账单等其他证据齐全，可否税前扣除？</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（五）建筑业总分公司的企业所得税汇算清缴疑难点解析。</w:t>
      </w:r>
    </w:p>
    <w:p>
      <w:pPr>
        <w:keepNext w:val="0"/>
        <w:keepLines w:val="0"/>
        <w:pageBreakBefore w:val="0"/>
        <w:kinsoku/>
        <w:wordWrap/>
        <w:overflowPunct/>
        <w:topLinePunct w:val="0"/>
        <w:autoSpaceDE/>
        <w:autoSpaceDN/>
        <w:bidi w:val="0"/>
        <w:spacing w:line="360" w:lineRule="auto"/>
        <w:ind w:firstLine="643" w:firstLineChars="200"/>
        <w:jc w:val="both"/>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、2021年建筑业企业所得税难点解析</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（一）建筑业实行新收入准则的税会差异解析</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1、建筑业新收入准则的税会差异</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2、建筑业新收入准则的企业所得税处理依据</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（二）建筑业关联企业利息扣除风险点解析</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1、建筑业关联企业利息扣除税收政策介绍</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2、建筑业关联企业利息扣除风险点解析</w:t>
      </w:r>
    </w:p>
    <w:p>
      <w:pPr>
        <w:keepNext w:val="0"/>
        <w:keepLines w:val="0"/>
        <w:pageBreakBefore w:val="0"/>
        <w:kinsoku/>
        <w:wordWrap/>
        <w:overflowPunct/>
        <w:topLinePunct w:val="0"/>
        <w:autoSpaceDE/>
        <w:autoSpaceDN/>
        <w:bidi w:val="0"/>
        <w:spacing w:line="360" w:lineRule="auto"/>
        <w:ind w:firstLine="562" w:firstLineChars="200"/>
        <w:jc w:val="both"/>
        <w:textAlignment w:val="auto"/>
        <w:rPr>
          <w:rFonts w:hint="eastAsia" w:ascii="宋体" w:hAnsi="宋体" w:eastAsia="宋体" w:cs="宋体"/>
          <w:b/>
          <w:bCs/>
          <w:sz w:val="28"/>
          <w:szCs w:val="28"/>
        </w:rPr>
      </w:pPr>
    </w:p>
    <w:p>
      <w:pPr>
        <w:keepNext w:val="0"/>
        <w:keepLines w:val="0"/>
        <w:pageBreakBefore w:val="0"/>
        <w:kinsoku/>
        <w:wordWrap/>
        <w:overflowPunct/>
        <w:topLinePunct w:val="0"/>
        <w:autoSpaceDE/>
        <w:autoSpaceDN/>
        <w:bidi w:val="0"/>
        <w:spacing w:line="360" w:lineRule="auto"/>
        <w:ind w:firstLine="1606" w:firstLineChars="50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 xml:space="preserve">部分   </w:t>
      </w:r>
      <w:r>
        <w:rPr>
          <w:rFonts w:hint="eastAsia" w:ascii="宋体" w:hAnsi="宋体" w:eastAsia="宋体" w:cs="宋体"/>
          <w:b/>
          <w:bCs/>
          <w:sz w:val="32"/>
          <w:szCs w:val="32"/>
          <w:lang w:val="en-US" w:eastAsia="zh-CN"/>
        </w:rPr>
        <w:t>建筑业</w:t>
      </w:r>
      <w:r>
        <w:rPr>
          <w:rFonts w:hint="eastAsia" w:ascii="宋体" w:hAnsi="宋体" w:eastAsia="宋体" w:cs="宋体"/>
          <w:b/>
          <w:bCs/>
          <w:sz w:val="32"/>
          <w:szCs w:val="32"/>
        </w:rPr>
        <w:t>个人所得税汇算清缴</w:t>
      </w:r>
    </w:p>
    <w:p>
      <w:pPr>
        <w:keepNext w:val="0"/>
        <w:keepLines w:val="0"/>
        <w:pageBreakBefore w:val="0"/>
        <w:numPr>
          <w:ilvl w:val="0"/>
          <w:numId w:val="4"/>
        </w:numPr>
        <w:kinsoku/>
        <w:wordWrap/>
        <w:overflowPunct/>
        <w:topLinePunct w:val="0"/>
        <w:autoSpaceDE/>
        <w:autoSpaceDN/>
        <w:bidi w:val="0"/>
        <w:spacing w:line="360" w:lineRule="auto"/>
        <w:textAlignment w:val="auto"/>
        <w:rPr>
          <w:rFonts w:hint="eastAsia" w:ascii="宋体" w:hAnsi="宋体" w:eastAsia="宋体" w:cs="宋体"/>
          <w:b/>
          <w:sz w:val="28"/>
          <w:szCs w:val="28"/>
        </w:rPr>
      </w:pPr>
      <w:r>
        <w:rPr>
          <w:rFonts w:hint="eastAsia" w:ascii="宋体" w:hAnsi="宋体" w:eastAsia="宋体" w:cs="宋体"/>
          <w:b/>
          <w:sz w:val="32"/>
          <w:szCs w:val="32"/>
        </w:rPr>
        <w:t>近期主要个人所得税政策解读</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（一）《国家税务总局关于进一步简便优化部分纳税人个人所得税预扣预缴方法的公告》国家税务总局公告2020年第19号</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（二）《国家税务总局关于完善调整部分纳税人个人所得税预扣预缴方法的公告》（国家税务总局公告2020年第13号）</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（三）首年汇缴结束后，凸显的重点问题在哪里？应如何整改与应对？</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hint="eastAsia" w:ascii="宋体" w:hAnsi="宋体" w:eastAsia="宋体" w:cs="宋体"/>
          <w:b/>
          <w:sz w:val="28"/>
          <w:szCs w:val="28"/>
        </w:rPr>
      </w:pPr>
      <w:r>
        <w:rPr>
          <w:rFonts w:hint="eastAsia" w:ascii="宋体" w:hAnsi="宋体" w:eastAsia="宋体" w:cs="宋体"/>
          <w:b/>
          <w:sz w:val="32"/>
          <w:szCs w:val="32"/>
        </w:rPr>
        <w:t>二、</w:t>
      </w:r>
      <w:r>
        <w:rPr>
          <w:rFonts w:hint="eastAsia" w:ascii="宋体" w:hAnsi="宋体" w:eastAsia="宋体" w:cs="宋体"/>
          <w:b/>
          <w:sz w:val="32"/>
          <w:szCs w:val="32"/>
          <w:lang w:val="en-US" w:eastAsia="zh-CN"/>
        </w:rPr>
        <w:t>建筑业</w:t>
      </w:r>
      <w:r>
        <w:rPr>
          <w:rFonts w:hint="eastAsia" w:ascii="宋体" w:hAnsi="宋体" w:eastAsia="宋体" w:cs="宋体"/>
          <w:b/>
          <w:sz w:val="32"/>
          <w:szCs w:val="32"/>
        </w:rPr>
        <w:t>个税税收风险再认识</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（一）建筑业个人股权转让应关注的主要税收风险点</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（二）建筑业工资薪金和劳务报酬区别，未与农民工签订劳动合同，未缴纳社保，只缴纳工伤险的个人所得税、企业所得税社保处理。</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（三）以案说税，案例清晰，讲解细致。案例都精心设计“案例资料”、“税收政策”、“税务风险”几个部分，每一案例，每一税务风险点基本都有明确的税法依据。</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hint="eastAsia" w:ascii="宋体" w:hAnsi="宋体" w:eastAsia="宋体" w:cs="宋体"/>
          <w:b/>
          <w:sz w:val="32"/>
          <w:szCs w:val="32"/>
        </w:rPr>
      </w:pPr>
      <w:r>
        <w:rPr>
          <w:rFonts w:hint="eastAsia" w:ascii="宋体" w:hAnsi="宋体" w:eastAsia="宋体" w:cs="宋体"/>
          <w:b/>
          <w:sz w:val="32"/>
          <w:szCs w:val="32"/>
        </w:rPr>
        <w:t>三、</w:t>
      </w:r>
      <w:r>
        <w:rPr>
          <w:rFonts w:hint="eastAsia" w:ascii="宋体" w:hAnsi="宋体" w:eastAsia="宋体" w:cs="宋体"/>
          <w:b/>
          <w:sz w:val="32"/>
          <w:szCs w:val="32"/>
          <w:lang w:val="en-US" w:eastAsia="zh-CN"/>
        </w:rPr>
        <w:t>建筑业</w:t>
      </w:r>
      <w:r>
        <w:rPr>
          <w:rFonts w:hint="eastAsia" w:ascii="宋体" w:hAnsi="宋体" w:eastAsia="宋体" w:cs="宋体"/>
          <w:b/>
          <w:sz w:val="32"/>
          <w:szCs w:val="32"/>
        </w:rPr>
        <w:t>个税热点问题</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（一）退休返聘人员、临时工、季节工等涉税处理。</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（二）建造师等挂证人员，只上社保，不发工资，是否需要做全员全额扣缴明细申报？</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（三）建筑业两处取得工资的，个税与社保的基数一样吗？企业所得税前如何扣除？</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bCs/>
          <w:sz w:val="28"/>
          <w:szCs w:val="28"/>
        </w:rPr>
      </w:pPr>
    </w:p>
    <w:p>
      <w:pPr>
        <w:keepNext w:val="0"/>
        <w:keepLines w:val="0"/>
        <w:pageBreakBefore w:val="0"/>
        <w:kinsoku/>
        <w:wordWrap/>
        <w:overflowPunct/>
        <w:topLinePunct w:val="0"/>
        <w:autoSpaceDE/>
        <w:autoSpaceDN/>
        <w:bidi w:val="0"/>
        <w:spacing w:line="360" w:lineRule="auto"/>
        <w:ind w:firstLine="643" w:firstLineChars="200"/>
        <w:jc w:val="center"/>
        <w:textAlignment w:val="auto"/>
        <w:rPr>
          <w:rFonts w:hint="eastAsia" w:ascii="宋体" w:hAnsi="宋体" w:eastAsia="宋体" w:cs="宋体"/>
          <w:b/>
          <w:sz w:val="32"/>
          <w:szCs w:val="32"/>
        </w:rPr>
      </w:pPr>
      <w:r>
        <w:rPr>
          <w:rFonts w:hint="eastAsia" w:ascii="宋体" w:hAnsi="宋体" w:eastAsia="宋体" w:cs="宋体"/>
          <w:b/>
          <w:sz w:val="32"/>
          <w:szCs w:val="32"/>
        </w:rPr>
        <w:t>第</w:t>
      </w:r>
      <w:r>
        <w:rPr>
          <w:rFonts w:hint="eastAsia" w:ascii="宋体" w:hAnsi="宋体" w:eastAsia="宋体" w:cs="宋体"/>
          <w:b/>
          <w:sz w:val="32"/>
          <w:szCs w:val="32"/>
          <w:lang w:val="en-US" w:eastAsia="zh-CN"/>
        </w:rPr>
        <w:t>四</w:t>
      </w:r>
      <w:r>
        <w:rPr>
          <w:rFonts w:hint="eastAsia" w:ascii="宋体" w:hAnsi="宋体" w:eastAsia="宋体" w:cs="宋体"/>
          <w:b/>
          <w:sz w:val="32"/>
          <w:szCs w:val="32"/>
        </w:rPr>
        <w:t xml:space="preserve">部分   </w:t>
      </w:r>
      <w:r>
        <w:rPr>
          <w:rFonts w:hint="eastAsia" w:ascii="宋体" w:hAnsi="宋体" w:eastAsia="宋体" w:cs="宋体"/>
          <w:b/>
          <w:sz w:val="32"/>
          <w:szCs w:val="32"/>
          <w:lang w:val="en-US" w:eastAsia="zh-CN"/>
        </w:rPr>
        <w:t>建筑业</w:t>
      </w:r>
      <w:r>
        <w:rPr>
          <w:rFonts w:hint="eastAsia" w:ascii="宋体" w:hAnsi="宋体" w:eastAsia="宋体" w:cs="宋体"/>
          <w:b/>
          <w:sz w:val="32"/>
          <w:szCs w:val="32"/>
        </w:rPr>
        <w:t>社保入税的影响</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2020年全面开展社保减免，但减免政策实施后，我们的后续问题都有啥？社保有免有管，面对管的现状会计该如何操作？2021年执行到期的新政都有哪些？关注的要点是什么？</w:t>
      </w:r>
    </w:p>
    <w:p>
      <w:pPr>
        <w:keepNext w:val="0"/>
        <w:keepLines w:val="0"/>
        <w:pageBreakBefore w:val="0"/>
        <w:kinsoku/>
        <w:wordWrap/>
        <w:overflowPunct/>
        <w:topLinePunct w:val="0"/>
        <w:autoSpaceDE/>
        <w:autoSpaceDN/>
        <w:bidi w:val="0"/>
        <w:spacing w:line="360" w:lineRule="auto"/>
        <w:ind w:firstLine="643" w:firstLineChars="200"/>
        <w:jc w:val="both"/>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一、社保“入税”背景分析</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（一）社保规定与目前现状分析</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（二）重新定义“社保”</w:t>
      </w:r>
    </w:p>
    <w:p>
      <w:pPr>
        <w:keepNext w:val="0"/>
        <w:keepLines w:val="0"/>
        <w:pageBreakBefore w:val="0"/>
        <w:kinsoku/>
        <w:wordWrap/>
        <w:overflowPunct/>
        <w:topLinePunct w:val="0"/>
        <w:autoSpaceDE/>
        <w:autoSpaceDN/>
        <w:bidi w:val="0"/>
        <w:spacing w:line="360" w:lineRule="auto"/>
        <w:ind w:firstLine="643" w:firstLineChars="200"/>
        <w:jc w:val="both"/>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二、社保“入税”主要政策介绍</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（一）社保“入税”基本规定与原则</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（二）常见社保知识介绍</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1、正式工、临时工、全日制、非全日制</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2、劳动与劳务</w:t>
      </w:r>
    </w:p>
    <w:p>
      <w:pPr>
        <w:keepNext w:val="0"/>
        <w:keepLines w:val="0"/>
        <w:pageBreakBefore w:val="0"/>
        <w:kinsoku/>
        <w:wordWrap/>
        <w:overflowPunct/>
        <w:topLinePunct w:val="0"/>
        <w:autoSpaceDE/>
        <w:autoSpaceDN/>
        <w:bidi w:val="0"/>
        <w:spacing w:line="360" w:lineRule="auto"/>
        <w:ind w:firstLine="643" w:firstLineChars="200"/>
        <w:jc w:val="both"/>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三、回答您关注的热点的问题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1、建筑业员工在老家有新农合，坚持不在公司缴纳社保，这样对公司有什么影响？</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2、建筑公司员工流动性较大，能不能不缴纳社保？不交有什么风险？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3、社保入税了会让企业补交之前的社保吗？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4、疫情的时候很多企业个别月份是没有工资的，但是个人社保是正常申报的，如何进行</w:t>
      </w:r>
      <w:bookmarkStart w:id="4" w:name="_GoBack"/>
      <w:bookmarkEnd w:id="4"/>
      <w:r>
        <w:rPr>
          <w:rFonts w:hint="eastAsia" w:ascii="仿宋" w:hAnsi="仿宋" w:eastAsia="仿宋" w:cs="仿宋"/>
          <w:i w:val="0"/>
          <w:caps w:val="0"/>
          <w:color w:val="auto"/>
          <w:spacing w:val="0"/>
          <w:kern w:val="0"/>
          <w:sz w:val="30"/>
          <w:szCs w:val="30"/>
          <w:lang w:val="en-US" w:eastAsia="zh-CN" w:bidi="ar"/>
        </w:rPr>
        <w:t>账务处理？疫情期间0工资有什么风险吗？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本课程将结合2021年以来开始实施的重点新政结合企业实际业务，通过企业所得税，个人所得税及社保等热点问题的解析，为2021年的汇缴及企业薪酬安排工作奠定坚实的基础。</w:t>
      </w:r>
    </w:p>
    <w:sectPr>
      <w:footerReference r:id="rId3" w:type="default"/>
      <w:pgSz w:w="11906" w:h="16838"/>
      <w:pgMar w:top="1304" w:right="1701" w:bottom="1304"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E29BE"/>
    <w:multiLevelType w:val="singleLevel"/>
    <w:tmpl w:val="913E29BE"/>
    <w:lvl w:ilvl="0" w:tentative="0">
      <w:start w:val="1"/>
      <w:numFmt w:val="chineseCounting"/>
      <w:suff w:val="nothing"/>
      <w:lvlText w:val="%1、"/>
      <w:lvlJc w:val="left"/>
      <w:pPr>
        <w:ind w:left="642" w:firstLine="0"/>
      </w:pPr>
      <w:rPr>
        <w:rFonts w:hint="eastAsia"/>
      </w:rPr>
    </w:lvl>
  </w:abstractNum>
  <w:abstractNum w:abstractNumId="1">
    <w:nsid w:val="45924217"/>
    <w:multiLevelType w:val="multilevel"/>
    <w:tmpl w:val="45924217"/>
    <w:lvl w:ilvl="0" w:tentative="0">
      <w:start w:val="1"/>
      <w:numFmt w:val="decimal"/>
      <w:pStyle w:val="9"/>
      <w:lvlText w:val="%1."/>
      <w:lvlJc w:val="left"/>
      <w:pPr>
        <w:ind w:left="420" w:hanging="420"/>
      </w:pPr>
      <w:rPr>
        <w:rFonts w:hint="eastAsia" w:ascii="宋体" w:hAnsi="宋体" w:eastAsia="宋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953169"/>
    <w:multiLevelType w:val="multilevel"/>
    <w:tmpl w:val="53953169"/>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E44DB60"/>
    <w:multiLevelType w:val="multilevel"/>
    <w:tmpl w:val="6E44DB6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007E0"/>
    <w:rsid w:val="02220A58"/>
    <w:rsid w:val="06AE4555"/>
    <w:rsid w:val="0A6124FF"/>
    <w:rsid w:val="1F023697"/>
    <w:rsid w:val="20D010CD"/>
    <w:rsid w:val="21A63F48"/>
    <w:rsid w:val="2CF02F06"/>
    <w:rsid w:val="2FF43EB0"/>
    <w:rsid w:val="33566D8C"/>
    <w:rsid w:val="39095D2E"/>
    <w:rsid w:val="3C233DC3"/>
    <w:rsid w:val="3D912BB7"/>
    <w:rsid w:val="40396F43"/>
    <w:rsid w:val="418007E0"/>
    <w:rsid w:val="430E0D60"/>
    <w:rsid w:val="47E25E2A"/>
    <w:rsid w:val="4ECE3543"/>
    <w:rsid w:val="52E450A0"/>
    <w:rsid w:val="53151A46"/>
    <w:rsid w:val="565044C1"/>
    <w:rsid w:val="5B1F04C1"/>
    <w:rsid w:val="5ED9042B"/>
    <w:rsid w:val="63B32D45"/>
    <w:rsid w:val="663D29B4"/>
    <w:rsid w:val="6A514DF1"/>
    <w:rsid w:val="6A761AE4"/>
    <w:rsid w:val="6AAE5627"/>
    <w:rsid w:val="6C5379D0"/>
    <w:rsid w:val="6DC058CD"/>
    <w:rsid w:val="6EA6212C"/>
    <w:rsid w:val="71B142DB"/>
    <w:rsid w:val="77167E57"/>
    <w:rsid w:val="78E65F03"/>
    <w:rsid w:val="79233872"/>
    <w:rsid w:val="7B895E8B"/>
    <w:rsid w:val="7D480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qFormat/>
    <w:uiPriority w:val="0"/>
    <w:rPr>
      <w:b/>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No Spacing"/>
    <w:basedOn w:val="10"/>
    <w:qFormat/>
    <w:uiPriority w:val="1"/>
    <w:pPr>
      <w:numPr>
        <w:ilvl w:val="0"/>
        <w:numId w:val="1"/>
      </w:numPr>
      <w:spacing w:line="360" w:lineRule="auto"/>
      <w:ind w:firstLineChars="0"/>
    </w:pPr>
    <w:rPr>
      <w:rFonts w:ascii="仿宋" w:hAnsi="仿宋" w:eastAsia="仿宋" w:cs="Times New Roman"/>
      <w:color w:val="404040"/>
      <w:sz w:val="24"/>
      <w:szCs w:val="28"/>
    </w:rPr>
  </w:style>
  <w:style w:type="paragraph" w:styleId="10">
    <w:name w:val="List Paragraph"/>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2020-07-27T01:20:00Z</dcterms:created>
  <dc:creator>悠然 ~自得</dc:creator>
  <cp:lastModifiedBy>赵英</cp:lastModifiedBy>
  <cp:lastPrinted>2020-11-23T07:44:00Z</cp:lastPrinted>
  <dcterms:modified xsi:type="dcterms:W3CDTF">2021-03-22T02:49:38Z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