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sz w:val="44"/>
          <w:szCs w:val="44"/>
        </w:rPr>
      </w:pPr>
      <w:r>
        <w:rPr>
          <w:rFonts w:hint="eastAsia" w:asciiTheme="minorEastAsia" w:hAnsiTheme="minorEastAsia"/>
          <w:b/>
          <w:sz w:val="44"/>
          <w:szCs w:val="44"/>
          <w:lang w:eastAsia="zh-CN"/>
        </w:rPr>
        <w:t>内蒙古自治区</w:t>
      </w:r>
      <w:r>
        <w:rPr>
          <w:rFonts w:hint="eastAsia" w:asciiTheme="minorEastAsia" w:hAnsiTheme="minorEastAsia"/>
          <w:b/>
          <w:sz w:val="44"/>
          <w:szCs w:val="44"/>
        </w:rPr>
        <w:t>房地产开发企业</w:t>
      </w:r>
      <w:r>
        <w:rPr>
          <w:rFonts w:hint="eastAsia" w:cs="黑体" w:asciiTheme="minorEastAsia" w:hAnsiTheme="minorEastAsia"/>
          <w:b/>
          <w:color w:val="000000"/>
          <w:kern w:val="0"/>
          <w:sz w:val="44"/>
          <w:szCs w:val="44"/>
        </w:rPr>
        <w:t>信用评价指标体系</w:t>
      </w:r>
    </w:p>
    <w:tbl>
      <w:tblPr>
        <w:tblStyle w:val="8"/>
        <w:tblW w:w="15738" w:type="dxa"/>
        <w:jc w:val="center"/>
        <w:tblInd w:w="6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1"/>
        <w:gridCol w:w="1276"/>
        <w:gridCol w:w="1256"/>
        <w:gridCol w:w="1011"/>
        <w:gridCol w:w="4060"/>
        <w:gridCol w:w="6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1" w:type="dxa"/>
            <w:vAlign w:val="center"/>
          </w:tcPr>
          <w:p>
            <w:pPr>
              <w:autoSpaceDE w:val="0"/>
              <w:autoSpaceDN w:val="0"/>
              <w:adjustRightInd w:val="0"/>
              <w:jc w:val="center"/>
              <w:rPr>
                <w:rFonts w:cs="宋体" w:asciiTheme="minorEastAsia" w:hAnsiTheme="minorEastAsia"/>
                <w:b/>
                <w:bCs/>
                <w:kern w:val="0"/>
                <w:szCs w:val="21"/>
              </w:rPr>
            </w:pPr>
            <w:r>
              <w:rPr>
                <w:rFonts w:hint="eastAsia" w:cs="宋体" w:asciiTheme="minorEastAsia" w:hAnsiTheme="minorEastAsia"/>
                <w:b/>
                <w:bCs/>
                <w:kern w:val="0"/>
                <w:szCs w:val="21"/>
              </w:rPr>
              <w:t>一级指标</w:t>
            </w:r>
          </w:p>
        </w:tc>
        <w:tc>
          <w:tcPr>
            <w:tcW w:w="1276" w:type="dxa"/>
            <w:vAlign w:val="center"/>
          </w:tcPr>
          <w:p>
            <w:pPr>
              <w:autoSpaceDE w:val="0"/>
              <w:autoSpaceDN w:val="0"/>
              <w:adjustRightInd w:val="0"/>
              <w:jc w:val="center"/>
              <w:rPr>
                <w:rFonts w:cs="宋体" w:asciiTheme="minorEastAsia" w:hAnsiTheme="minorEastAsia"/>
                <w:b/>
                <w:bCs/>
                <w:kern w:val="0"/>
                <w:szCs w:val="21"/>
              </w:rPr>
            </w:pPr>
            <w:r>
              <w:rPr>
                <w:rFonts w:hint="eastAsia" w:cs="宋体" w:asciiTheme="minorEastAsia" w:hAnsiTheme="minorEastAsia"/>
                <w:b/>
                <w:bCs/>
                <w:kern w:val="0"/>
                <w:szCs w:val="21"/>
              </w:rPr>
              <w:t>二级指标</w:t>
            </w:r>
          </w:p>
        </w:tc>
        <w:tc>
          <w:tcPr>
            <w:tcW w:w="1256" w:type="dxa"/>
            <w:vAlign w:val="center"/>
          </w:tcPr>
          <w:p>
            <w:pPr>
              <w:autoSpaceDE w:val="0"/>
              <w:autoSpaceDN w:val="0"/>
              <w:adjustRightInd w:val="0"/>
              <w:jc w:val="center"/>
              <w:rPr>
                <w:rFonts w:cs="宋体" w:asciiTheme="minorEastAsia" w:hAnsiTheme="minorEastAsia"/>
                <w:b/>
                <w:bCs/>
                <w:kern w:val="0"/>
                <w:szCs w:val="21"/>
              </w:rPr>
            </w:pPr>
            <w:r>
              <w:rPr>
                <w:rFonts w:hint="eastAsia" w:cs="宋体" w:asciiTheme="minorEastAsia" w:hAnsiTheme="minorEastAsia"/>
                <w:b/>
                <w:bCs/>
                <w:kern w:val="0"/>
                <w:szCs w:val="21"/>
              </w:rPr>
              <w:t>三级指标</w:t>
            </w:r>
          </w:p>
        </w:tc>
        <w:tc>
          <w:tcPr>
            <w:tcW w:w="1011" w:type="dxa"/>
            <w:vAlign w:val="center"/>
          </w:tcPr>
          <w:p>
            <w:pPr>
              <w:autoSpaceDE w:val="0"/>
              <w:autoSpaceDN w:val="0"/>
              <w:adjustRightInd w:val="0"/>
              <w:jc w:val="center"/>
              <w:rPr>
                <w:rFonts w:cs="宋体" w:asciiTheme="minorEastAsia" w:hAnsiTheme="minorEastAsia"/>
                <w:b/>
                <w:bCs/>
                <w:kern w:val="0"/>
                <w:szCs w:val="21"/>
              </w:rPr>
            </w:pPr>
            <w:r>
              <w:rPr>
                <w:rFonts w:hint="eastAsia" w:cs="宋体" w:asciiTheme="minorEastAsia" w:hAnsiTheme="minorEastAsia"/>
                <w:b/>
                <w:bCs/>
                <w:kern w:val="0"/>
                <w:szCs w:val="21"/>
              </w:rPr>
              <w:t>分值</w:t>
            </w:r>
          </w:p>
        </w:tc>
        <w:tc>
          <w:tcPr>
            <w:tcW w:w="4060" w:type="dxa"/>
            <w:vAlign w:val="center"/>
          </w:tcPr>
          <w:p>
            <w:pPr>
              <w:autoSpaceDE w:val="0"/>
              <w:autoSpaceDN w:val="0"/>
              <w:adjustRightInd w:val="0"/>
              <w:jc w:val="center"/>
              <w:rPr>
                <w:rFonts w:cs="宋体" w:asciiTheme="minorEastAsia" w:hAnsiTheme="minorEastAsia"/>
                <w:b/>
                <w:bCs/>
                <w:kern w:val="0"/>
                <w:szCs w:val="21"/>
              </w:rPr>
            </w:pPr>
            <w:r>
              <w:rPr>
                <w:rFonts w:hint="eastAsia" w:cs="宋体" w:asciiTheme="minorEastAsia" w:hAnsiTheme="minorEastAsia"/>
                <w:b/>
                <w:bCs/>
                <w:kern w:val="0"/>
                <w:szCs w:val="21"/>
              </w:rPr>
              <w:t>指标说明</w:t>
            </w:r>
          </w:p>
        </w:tc>
        <w:tc>
          <w:tcPr>
            <w:tcW w:w="6834" w:type="dxa"/>
            <w:vAlign w:val="center"/>
          </w:tcPr>
          <w:p>
            <w:pPr>
              <w:autoSpaceDE w:val="0"/>
              <w:autoSpaceDN w:val="0"/>
              <w:adjustRightInd w:val="0"/>
              <w:jc w:val="center"/>
              <w:rPr>
                <w:rFonts w:cs="宋体" w:asciiTheme="minorEastAsia" w:hAnsiTheme="minorEastAsia"/>
                <w:b/>
                <w:bCs/>
                <w:kern w:val="0"/>
                <w:szCs w:val="21"/>
              </w:rPr>
            </w:pPr>
            <w:r>
              <w:rPr>
                <w:rFonts w:hint="eastAsia" w:cs="宋体" w:asciiTheme="minorEastAsia" w:hAnsiTheme="minorEastAsia"/>
                <w:b/>
                <w:bCs/>
                <w:kern w:val="0"/>
                <w:szCs w:val="21"/>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1" w:type="dxa"/>
            <w:vMerge w:val="restart"/>
            <w:vAlign w:val="center"/>
          </w:tcPr>
          <w:p>
            <w:pPr>
              <w:autoSpaceDE w:val="0"/>
              <w:autoSpaceDN w:val="0"/>
              <w:adjustRightInd w:val="0"/>
              <w:spacing w:line="300" w:lineRule="exact"/>
              <w:jc w:val="center"/>
            </w:pPr>
            <w:r>
              <w:rPr>
                <w:rFonts w:hint="eastAsia" w:cs="宋体" w:asciiTheme="minorEastAsia" w:hAnsiTheme="minorEastAsia"/>
                <w:b/>
                <w:kern w:val="0"/>
                <w:szCs w:val="21"/>
              </w:rPr>
              <w:t>1.企业客观信用能力(21)分</w:t>
            </w:r>
          </w:p>
        </w:tc>
        <w:tc>
          <w:tcPr>
            <w:tcW w:w="1276" w:type="dxa"/>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1.1</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基本信息</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w:t>
            </w:r>
            <w:r>
              <w:rPr>
                <w:rFonts w:cs="宋体" w:asciiTheme="minorEastAsia" w:hAnsiTheme="minorEastAsia"/>
                <w:b/>
                <w:kern w:val="0"/>
                <w:szCs w:val="21"/>
              </w:rPr>
              <w:t>1分）</w:t>
            </w:r>
          </w:p>
        </w:tc>
        <w:tc>
          <w:tcPr>
            <w:tcW w:w="1256" w:type="dxa"/>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1.1.1</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经营年限</w:t>
            </w:r>
          </w:p>
        </w:tc>
        <w:tc>
          <w:tcPr>
            <w:tcW w:w="1011" w:type="dxa"/>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1分</w:t>
            </w:r>
          </w:p>
        </w:tc>
        <w:tc>
          <w:tcPr>
            <w:tcW w:w="4060" w:type="dxa"/>
            <w:vAlign w:val="center"/>
          </w:tcPr>
          <w:p>
            <w:pPr>
              <w:autoSpaceDE w:val="0"/>
              <w:autoSpaceDN w:val="0"/>
              <w:adjustRightInd w:val="0"/>
              <w:spacing w:line="300" w:lineRule="exact"/>
              <w:rPr>
                <w:rFonts w:cs="宋体" w:asciiTheme="minorEastAsia" w:hAnsiTheme="minorEastAsia"/>
                <w:b/>
                <w:kern w:val="0"/>
                <w:szCs w:val="21"/>
              </w:rPr>
            </w:pPr>
            <w:r>
              <w:rPr>
                <w:rFonts w:hint="eastAsia" w:cs="宋体" w:asciiTheme="minorEastAsia" w:hAnsiTheme="minorEastAsia"/>
                <w:b/>
                <w:kern w:val="0"/>
                <w:szCs w:val="21"/>
              </w:rPr>
              <w:t>经营年限是企业建设与成长的年限，一定程度反映企业信用建设，两者正相关。</w:t>
            </w:r>
          </w:p>
        </w:tc>
        <w:tc>
          <w:tcPr>
            <w:tcW w:w="6834" w:type="dxa"/>
            <w:vAlign w:val="center"/>
          </w:tcPr>
          <w:p>
            <w:pPr>
              <w:autoSpaceDE w:val="0"/>
              <w:autoSpaceDN w:val="0"/>
              <w:adjustRightInd w:val="0"/>
              <w:spacing w:line="300" w:lineRule="exact"/>
              <w:rPr>
                <w:rFonts w:cs="宋体" w:asciiTheme="minorEastAsia" w:hAnsiTheme="minorEastAsia"/>
                <w:b/>
                <w:kern w:val="0"/>
                <w:szCs w:val="21"/>
              </w:rPr>
            </w:pPr>
            <w:r>
              <w:rPr>
                <w:rFonts w:hint="eastAsia" w:cs="宋体" w:asciiTheme="minorEastAsia" w:hAnsiTheme="minorEastAsia"/>
                <w:b/>
                <w:kern w:val="0"/>
                <w:szCs w:val="21"/>
              </w:rPr>
              <w:t>企业经营年限</w:t>
            </w:r>
            <w:r>
              <w:rPr>
                <w:rFonts w:cs="Times New Roman" w:asciiTheme="minorEastAsia" w:hAnsiTheme="minorEastAsia"/>
                <w:b/>
                <w:kern w:val="0"/>
                <w:szCs w:val="21"/>
              </w:rPr>
              <w:t>5</w:t>
            </w:r>
            <w:r>
              <w:rPr>
                <w:rFonts w:hint="eastAsia" w:cs="宋体" w:asciiTheme="minorEastAsia" w:hAnsiTheme="minorEastAsia"/>
                <w:b/>
                <w:kern w:val="0"/>
                <w:szCs w:val="21"/>
              </w:rPr>
              <w:t>年（含</w:t>
            </w:r>
            <w:r>
              <w:rPr>
                <w:rFonts w:cs="宋体" w:asciiTheme="minorEastAsia" w:hAnsiTheme="minorEastAsia"/>
                <w:b/>
                <w:kern w:val="0"/>
                <w:szCs w:val="21"/>
              </w:rPr>
              <w:t>5年）及以上得</w:t>
            </w:r>
            <w:r>
              <w:rPr>
                <w:rFonts w:cs="Times New Roman" w:asciiTheme="minorEastAsia" w:hAnsiTheme="minorEastAsia"/>
                <w:b/>
                <w:kern w:val="0"/>
                <w:szCs w:val="21"/>
              </w:rPr>
              <w:t>1</w:t>
            </w:r>
            <w:r>
              <w:rPr>
                <w:rFonts w:hint="eastAsia" w:cs="宋体" w:asciiTheme="minorEastAsia" w:hAnsiTheme="minorEastAsia"/>
                <w:b/>
                <w:kern w:val="0"/>
                <w:szCs w:val="21"/>
              </w:rPr>
              <w:t>分；</w:t>
            </w:r>
            <w:r>
              <w:rPr>
                <w:rFonts w:cs="宋体" w:asciiTheme="minorEastAsia" w:hAnsiTheme="minorEastAsia"/>
                <w:b/>
                <w:kern w:val="0"/>
                <w:szCs w:val="21"/>
              </w:rPr>
              <w:t>3-</w:t>
            </w:r>
            <w:r>
              <w:rPr>
                <w:rFonts w:cs="Times New Roman" w:asciiTheme="minorEastAsia" w:hAnsiTheme="minorEastAsia"/>
                <w:b/>
                <w:kern w:val="0"/>
                <w:szCs w:val="21"/>
              </w:rPr>
              <w:t>5</w:t>
            </w:r>
            <w:r>
              <w:rPr>
                <w:rFonts w:hint="eastAsia" w:cs="宋体" w:asciiTheme="minorEastAsia" w:hAnsiTheme="minorEastAsia"/>
                <w:b/>
                <w:kern w:val="0"/>
                <w:szCs w:val="21"/>
              </w:rPr>
              <w:t>年（含</w:t>
            </w:r>
            <w:r>
              <w:rPr>
                <w:rFonts w:cs="宋体" w:asciiTheme="minorEastAsia" w:hAnsiTheme="minorEastAsia"/>
                <w:b/>
                <w:kern w:val="0"/>
                <w:szCs w:val="21"/>
              </w:rPr>
              <w:t>3年）得</w:t>
            </w:r>
            <w:r>
              <w:rPr>
                <w:rFonts w:cs="Times New Roman" w:asciiTheme="minorEastAsia" w:hAnsiTheme="minorEastAsia"/>
                <w:b/>
                <w:kern w:val="0"/>
                <w:szCs w:val="21"/>
              </w:rPr>
              <w:t>0.5</w:t>
            </w:r>
            <w:r>
              <w:rPr>
                <w:rFonts w:hint="eastAsia" w:cs="宋体" w:asciiTheme="minorEastAsia" w:hAnsiTheme="minorEastAsia"/>
                <w:b/>
                <w:kern w:val="0"/>
                <w:szCs w:val="21"/>
              </w:rPr>
              <w:t>分；</w:t>
            </w:r>
            <w:r>
              <w:rPr>
                <w:rFonts w:cs="Times New Roman" w:asciiTheme="minorEastAsia" w:hAnsiTheme="minorEastAsia"/>
                <w:b/>
                <w:kern w:val="0"/>
                <w:szCs w:val="21"/>
              </w:rPr>
              <w:t>3</w:t>
            </w:r>
            <w:r>
              <w:rPr>
                <w:rFonts w:hint="eastAsia" w:cs="宋体" w:asciiTheme="minorEastAsia" w:hAnsiTheme="minorEastAsia"/>
                <w:b/>
                <w:kern w:val="0"/>
                <w:szCs w:val="21"/>
              </w:rPr>
              <w:t>年以下得</w:t>
            </w:r>
            <w:r>
              <w:rPr>
                <w:rFonts w:cs="宋体" w:asciiTheme="minorEastAsia" w:hAnsiTheme="minorEastAsia"/>
                <w:b/>
                <w:kern w:val="0"/>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1" w:type="dxa"/>
            <w:vMerge w:val="continue"/>
          </w:tcPr>
          <w:p/>
        </w:tc>
        <w:tc>
          <w:tcPr>
            <w:tcW w:w="1276" w:type="dxa"/>
            <w:vMerge w:val="restart"/>
            <w:vAlign w:val="center"/>
          </w:tcPr>
          <w:p>
            <w:pPr>
              <w:autoSpaceDE w:val="0"/>
              <w:autoSpaceDN w:val="0"/>
              <w:adjustRightInd w:val="0"/>
              <w:spacing w:line="300" w:lineRule="exact"/>
              <w:jc w:val="center"/>
            </w:pPr>
            <w:r>
              <w:rPr>
                <w:rFonts w:hint="eastAsia" w:cs="宋体" w:asciiTheme="minorEastAsia" w:hAnsiTheme="minorEastAsia"/>
                <w:b/>
                <w:kern w:val="0"/>
                <w:szCs w:val="21"/>
              </w:rPr>
              <w:t>1.2开发能力(2分)</w:t>
            </w:r>
          </w:p>
        </w:tc>
        <w:tc>
          <w:tcPr>
            <w:tcW w:w="1256" w:type="dxa"/>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1.2.1</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近三年</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开发面积</w:t>
            </w:r>
          </w:p>
        </w:tc>
        <w:tc>
          <w:tcPr>
            <w:tcW w:w="1011" w:type="dxa"/>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1分</w:t>
            </w:r>
          </w:p>
        </w:tc>
        <w:tc>
          <w:tcPr>
            <w:tcW w:w="4060" w:type="dxa"/>
            <w:vAlign w:val="center"/>
          </w:tcPr>
          <w:p>
            <w:pPr>
              <w:autoSpaceDE w:val="0"/>
              <w:autoSpaceDN w:val="0"/>
              <w:adjustRightInd w:val="0"/>
              <w:spacing w:line="300" w:lineRule="exact"/>
              <w:rPr>
                <w:rFonts w:cs="宋体" w:asciiTheme="minorEastAsia" w:hAnsiTheme="minorEastAsia"/>
                <w:b/>
                <w:kern w:val="0"/>
                <w:szCs w:val="21"/>
              </w:rPr>
            </w:pPr>
            <w:r>
              <w:rPr>
                <w:rFonts w:hint="eastAsia" w:cs="宋体" w:asciiTheme="minorEastAsia" w:hAnsiTheme="minorEastAsia"/>
                <w:b/>
                <w:kern w:val="0"/>
                <w:szCs w:val="21"/>
              </w:rPr>
              <w:t>根据施工许可证，评价企业近三年的开发能力。</w:t>
            </w:r>
          </w:p>
        </w:tc>
        <w:tc>
          <w:tcPr>
            <w:tcW w:w="6834" w:type="dxa"/>
            <w:vAlign w:val="center"/>
          </w:tcPr>
          <w:p>
            <w:pPr>
              <w:keepNext/>
              <w:keepLines/>
              <w:autoSpaceDE w:val="0"/>
              <w:autoSpaceDN w:val="0"/>
              <w:adjustRightInd w:val="0"/>
              <w:spacing w:line="300" w:lineRule="exact"/>
              <w:outlineLvl w:val="1"/>
              <w:rPr>
                <w:rFonts w:cs="宋体" w:asciiTheme="minorEastAsia" w:hAnsiTheme="minorEastAsia"/>
                <w:b/>
                <w:kern w:val="0"/>
                <w:szCs w:val="21"/>
              </w:rPr>
            </w:pPr>
            <w:r>
              <w:rPr>
                <w:rFonts w:hint="eastAsia" w:cs="宋体" w:asciiTheme="minorEastAsia" w:hAnsiTheme="minorEastAsia"/>
                <w:b/>
                <w:kern w:val="0"/>
                <w:szCs w:val="21"/>
              </w:rPr>
              <w:t>企业近三年累计开发量在5万平方米以上得1</w:t>
            </w:r>
            <w:r>
              <w:rPr>
                <w:rFonts w:cs="宋体" w:asciiTheme="minorEastAsia" w:hAnsiTheme="minorEastAsia"/>
                <w:b/>
                <w:kern w:val="0"/>
                <w:szCs w:val="21"/>
              </w:rPr>
              <w:t>分</w:t>
            </w:r>
            <w:r>
              <w:rPr>
                <w:rFonts w:hint="eastAsia" w:cs="宋体" w:asciiTheme="minorEastAsia" w:hAnsiTheme="minorEastAsia"/>
                <w:b/>
                <w:kern w:val="0"/>
                <w:szCs w:val="21"/>
              </w:rPr>
              <w:t>,在5万平方米以内得0分</w:t>
            </w:r>
            <w:r>
              <w:rPr>
                <w:rFonts w:cs="宋体" w:asciiTheme="minorEastAsia" w:hAnsiTheme="minorEastAsia"/>
                <w:b/>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1" w:type="dxa"/>
            <w:vMerge w:val="continue"/>
          </w:tcPr>
          <w:p/>
        </w:tc>
        <w:tc>
          <w:tcPr>
            <w:tcW w:w="1276" w:type="dxa"/>
            <w:vMerge w:val="continue"/>
            <w:vAlign w:val="center"/>
          </w:tcPr>
          <w:p>
            <w:pPr>
              <w:jc w:val="center"/>
            </w:pPr>
          </w:p>
        </w:tc>
        <w:tc>
          <w:tcPr>
            <w:tcW w:w="1256" w:type="dxa"/>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1.2.2</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近三年竣工验收备案面积</w:t>
            </w:r>
          </w:p>
        </w:tc>
        <w:tc>
          <w:tcPr>
            <w:tcW w:w="1011" w:type="dxa"/>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1分</w:t>
            </w:r>
          </w:p>
        </w:tc>
        <w:tc>
          <w:tcPr>
            <w:tcW w:w="4060" w:type="dxa"/>
            <w:vAlign w:val="center"/>
          </w:tcPr>
          <w:p>
            <w:pPr>
              <w:autoSpaceDE w:val="0"/>
              <w:autoSpaceDN w:val="0"/>
              <w:adjustRightInd w:val="0"/>
              <w:spacing w:line="300" w:lineRule="exact"/>
              <w:rPr>
                <w:rFonts w:cs="宋体" w:asciiTheme="minorEastAsia" w:hAnsiTheme="minorEastAsia"/>
                <w:b/>
                <w:kern w:val="0"/>
                <w:szCs w:val="21"/>
              </w:rPr>
            </w:pPr>
            <w:r>
              <w:rPr>
                <w:rFonts w:hint="eastAsia" w:cs="宋体" w:asciiTheme="minorEastAsia" w:hAnsiTheme="minorEastAsia"/>
                <w:b/>
                <w:kern w:val="0"/>
                <w:szCs w:val="21"/>
              </w:rPr>
              <w:t>根据竣工验收备案表，评价企业近三年的开发能力。</w:t>
            </w:r>
          </w:p>
        </w:tc>
        <w:tc>
          <w:tcPr>
            <w:tcW w:w="6834" w:type="dxa"/>
            <w:vAlign w:val="center"/>
          </w:tcPr>
          <w:p>
            <w:pPr>
              <w:autoSpaceDE w:val="0"/>
              <w:autoSpaceDN w:val="0"/>
              <w:adjustRightInd w:val="0"/>
              <w:spacing w:line="300" w:lineRule="exact"/>
              <w:rPr>
                <w:rFonts w:cs="宋体" w:asciiTheme="minorEastAsia" w:hAnsiTheme="minorEastAsia"/>
                <w:b/>
                <w:kern w:val="0"/>
                <w:szCs w:val="21"/>
              </w:rPr>
            </w:pPr>
            <w:r>
              <w:rPr>
                <w:rFonts w:hint="eastAsia" w:cs="宋体" w:asciiTheme="minorEastAsia" w:hAnsiTheme="minorEastAsia"/>
                <w:b/>
                <w:kern w:val="0"/>
                <w:szCs w:val="21"/>
              </w:rPr>
              <w:t>企业近三年累计竣工量在5万平方米以上得1</w:t>
            </w:r>
            <w:r>
              <w:rPr>
                <w:rFonts w:cs="宋体" w:asciiTheme="minorEastAsia" w:hAnsiTheme="minorEastAsia"/>
                <w:b/>
                <w:kern w:val="0"/>
                <w:szCs w:val="21"/>
              </w:rPr>
              <w:t>分</w:t>
            </w:r>
            <w:r>
              <w:rPr>
                <w:rFonts w:hint="eastAsia" w:cs="宋体" w:asciiTheme="minorEastAsia" w:hAnsiTheme="minorEastAsia"/>
                <w:b/>
                <w:kern w:val="0"/>
                <w:szCs w:val="21"/>
              </w:rPr>
              <w:t>,在5万平方米以内得0分</w:t>
            </w:r>
            <w:r>
              <w:rPr>
                <w:rFonts w:cs="宋体" w:asciiTheme="minorEastAsia" w:hAnsiTheme="minorEastAsia"/>
                <w:b/>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1" w:type="dxa"/>
            <w:vMerge w:val="continue"/>
          </w:tcPr>
          <w:p/>
        </w:tc>
        <w:tc>
          <w:tcPr>
            <w:tcW w:w="1276" w:type="dxa"/>
            <w:vMerge w:val="restart"/>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1.3</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人员素质</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w:t>
            </w:r>
            <w:r>
              <w:rPr>
                <w:rFonts w:cs="宋体" w:asciiTheme="minorEastAsia" w:hAnsiTheme="minorEastAsia"/>
                <w:b/>
                <w:kern w:val="0"/>
                <w:szCs w:val="21"/>
              </w:rPr>
              <w:t>5分）</w:t>
            </w:r>
          </w:p>
        </w:tc>
        <w:tc>
          <w:tcPr>
            <w:tcW w:w="1256" w:type="dxa"/>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1.3.1</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管理层素质</w:t>
            </w:r>
          </w:p>
        </w:tc>
        <w:tc>
          <w:tcPr>
            <w:tcW w:w="1011" w:type="dxa"/>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4分</w:t>
            </w:r>
          </w:p>
        </w:tc>
        <w:tc>
          <w:tcPr>
            <w:tcW w:w="4060" w:type="dxa"/>
            <w:vAlign w:val="center"/>
          </w:tcPr>
          <w:p>
            <w:pPr>
              <w:autoSpaceDE w:val="0"/>
              <w:autoSpaceDN w:val="0"/>
              <w:adjustRightInd w:val="0"/>
              <w:spacing w:line="300" w:lineRule="exact"/>
              <w:rPr>
                <w:rFonts w:cs="宋体" w:asciiTheme="minorEastAsia" w:hAnsiTheme="minorEastAsia"/>
                <w:b/>
                <w:kern w:val="0"/>
                <w:szCs w:val="21"/>
              </w:rPr>
            </w:pPr>
            <w:r>
              <w:rPr>
                <w:rFonts w:hint="eastAsia" w:cs="宋体" w:asciiTheme="minorEastAsia" w:hAnsiTheme="minorEastAsia"/>
                <w:b/>
                <w:kern w:val="0"/>
                <w:szCs w:val="21"/>
              </w:rPr>
              <w:t>评价企业管理层知识结构、管理经验、管理层稳定情况、管理层是否存在不良信用记录等。</w:t>
            </w:r>
          </w:p>
        </w:tc>
        <w:tc>
          <w:tcPr>
            <w:tcW w:w="6834" w:type="dxa"/>
            <w:vAlign w:val="center"/>
          </w:tcPr>
          <w:p>
            <w:pPr>
              <w:autoSpaceDE w:val="0"/>
              <w:autoSpaceDN w:val="0"/>
              <w:adjustRightInd w:val="0"/>
              <w:spacing w:line="300" w:lineRule="exact"/>
              <w:rPr>
                <w:rFonts w:cs="宋体" w:asciiTheme="minorEastAsia" w:hAnsiTheme="minorEastAsia"/>
                <w:b/>
                <w:kern w:val="0"/>
                <w:szCs w:val="21"/>
              </w:rPr>
            </w:pPr>
            <w:r>
              <w:rPr>
                <w:rFonts w:hint="eastAsia" w:cs="宋体" w:asciiTheme="minorEastAsia" w:hAnsiTheme="minorEastAsia"/>
                <w:b/>
                <w:kern w:val="0"/>
                <w:szCs w:val="21"/>
              </w:rPr>
              <w:t>管理层专业素质高、人员稳定、无不良记录、经过行业培训得</w:t>
            </w:r>
            <w:r>
              <w:rPr>
                <w:rFonts w:cs="宋体" w:asciiTheme="minorEastAsia" w:hAnsiTheme="minorEastAsia"/>
                <w:b/>
                <w:kern w:val="0"/>
                <w:szCs w:val="21"/>
              </w:rPr>
              <w:t>4分；</w:t>
            </w:r>
          </w:p>
          <w:p>
            <w:pPr>
              <w:autoSpaceDE w:val="0"/>
              <w:autoSpaceDN w:val="0"/>
              <w:adjustRightInd w:val="0"/>
              <w:spacing w:line="300" w:lineRule="exact"/>
              <w:rPr>
                <w:rFonts w:cs="宋体" w:asciiTheme="minorEastAsia" w:hAnsiTheme="minorEastAsia"/>
                <w:b/>
                <w:kern w:val="0"/>
                <w:szCs w:val="21"/>
              </w:rPr>
            </w:pPr>
            <w:r>
              <w:rPr>
                <w:rFonts w:hint="eastAsia" w:cs="宋体" w:asciiTheme="minorEastAsia" w:hAnsiTheme="minorEastAsia"/>
                <w:b/>
                <w:kern w:val="0"/>
                <w:szCs w:val="21"/>
              </w:rPr>
              <w:t>管理层专业素质较高、人员较稳定、无不良记录得</w:t>
            </w:r>
            <w:r>
              <w:rPr>
                <w:rFonts w:cs="宋体" w:asciiTheme="minorEastAsia" w:hAnsiTheme="minorEastAsia"/>
                <w:b/>
                <w:kern w:val="0"/>
                <w:szCs w:val="21"/>
              </w:rPr>
              <w:t>3分；</w:t>
            </w:r>
          </w:p>
          <w:p>
            <w:pPr>
              <w:autoSpaceDE w:val="0"/>
              <w:autoSpaceDN w:val="0"/>
              <w:adjustRightInd w:val="0"/>
              <w:spacing w:line="300" w:lineRule="exact"/>
              <w:rPr>
                <w:rFonts w:cs="宋体" w:asciiTheme="minorEastAsia" w:hAnsiTheme="minorEastAsia"/>
                <w:b/>
                <w:kern w:val="0"/>
                <w:szCs w:val="21"/>
              </w:rPr>
            </w:pPr>
            <w:r>
              <w:rPr>
                <w:rFonts w:hint="eastAsia" w:cs="宋体" w:asciiTheme="minorEastAsia" w:hAnsiTheme="minorEastAsia"/>
                <w:b/>
                <w:kern w:val="0"/>
                <w:szCs w:val="21"/>
              </w:rPr>
              <w:t>管理层专业素质一般、人员稳定性一般，无不良记录得</w:t>
            </w:r>
            <w:r>
              <w:rPr>
                <w:rFonts w:cs="宋体" w:asciiTheme="minorEastAsia" w:hAnsiTheme="minorEastAsia"/>
                <w:b/>
                <w:kern w:val="0"/>
                <w:szCs w:val="21"/>
              </w:rPr>
              <w:t>2分；</w:t>
            </w:r>
          </w:p>
          <w:p>
            <w:pPr>
              <w:autoSpaceDE w:val="0"/>
              <w:autoSpaceDN w:val="0"/>
              <w:adjustRightInd w:val="0"/>
              <w:spacing w:line="300" w:lineRule="exact"/>
              <w:rPr>
                <w:rFonts w:cs="宋体" w:asciiTheme="minorEastAsia" w:hAnsiTheme="minorEastAsia"/>
                <w:b/>
                <w:kern w:val="0"/>
                <w:szCs w:val="21"/>
              </w:rPr>
            </w:pPr>
            <w:r>
              <w:rPr>
                <w:rFonts w:hint="eastAsia" w:cs="宋体" w:asciiTheme="minorEastAsia" w:hAnsiTheme="minorEastAsia"/>
                <w:b/>
                <w:kern w:val="0"/>
                <w:szCs w:val="21"/>
              </w:rPr>
              <w:t>管理层素质较差，人员稳定性较差，无不良记录得</w:t>
            </w:r>
            <w:r>
              <w:rPr>
                <w:rFonts w:cs="宋体" w:asciiTheme="minorEastAsia" w:hAnsiTheme="minorEastAsia"/>
                <w:b/>
                <w:kern w:val="0"/>
                <w:szCs w:val="21"/>
              </w:rPr>
              <w:t>1分；</w:t>
            </w:r>
          </w:p>
          <w:p>
            <w:pPr>
              <w:autoSpaceDE w:val="0"/>
              <w:autoSpaceDN w:val="0"/>
              <w:adjustRightInd w:val="0"/>
              <w:spacing w:line="300" w:lineRule="exact"/>
              <w:rPr>
                <w:rFonts w:cs="宋体" w:asciiTheme="minorEastAsia" w:hAnsiTheme="minorEastAsia"/>
                <w:b/>
                <w:kern w:val="0"/>
                <w:szCs w:val="21"/>
              </w:rPr>
            </w:pPr>
            <w:r>
              <w:rPr>
                <w:rFonts w:hint="eastAsia" w:cs="宋体" w:asciiTheme="minorEastAsia" w:hAnsiTheme="minorEastAsia"/>
                <w:b/>
                <w:kern w:val="0"/>
                <w:szCs w:val="21"/>
              </w:rPr>
              <w:t>管理层有不良记录得</w:t>
            </w:r>
            <w:r>
              <w:rPr>
                <w:rFonts w:cs="宋体" w:asciiTheme="minorEastAsia" w:hAnsiTheme="minorEastAsia"/>
                <w:b/>
                <w:kern w:val="0"/>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1" w:type="dxa"/>
            <w:vMerge w:val="continue"/>
          </w:tcPr>
          <w:p/>
        </w:tc>
        <w:tc>
          <w:tcPr>
            <w:tcW w:w="1276" w:type="dxa"/>
            <w:vMerge w:val="continue"/>
            <w:vAlign w:val="center"/>
          </w:tcPr>
          <w:p>
            <w:pPr>
              <w:jc w:val="center"/>
            </w:pPr>
          </w:p>
        </w:tc>
        <w:tc>
          <w:tcPr>
            <w:tcW w:w="1256" w:type="dxa"/>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1.3.2</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项目管理</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人员素质</w:t>
            </w:r>
          </w:p>
        </w:tc>
        <w:tc>
          <w:tcPr>
            <w:tcW w:w="1011" w:type="dxa"/>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1分</w:t>
            </w:r>
          </w:p>
        </w:tc>
        <w:tc>
          <w:tcPr>
            <w:tcW w:w="4060" w:type="dxa"/>
            <w:vAlign w:val="center"/>
          </w:tcPr>
          <w:p>
            <w:pPr>
              <w:autoSpaceDE w:val="0"/>
              <w:autoSpaceDN w:val="0"/>
              <w:adjustRightInd w:val="0"/>
              <w:spacing w:line="300" w:lineRule="exact"/>
              <w:jc w:val="left"/>
              <w:rPr>
                <w:rFonts w:cs="宋体" w:asciiTheme="minorEastAsia" w:hAnsiTheme="minorEastAsia"/>
                <w:b/>
                <w:kern w:val="0"/>
                <w:szCs w:val="21"/>
              </w:rPr>
            </w:pPr>
            <w:r>
              <w:rPr>
                <w:rFonts w:hint="eastAsia" w:cs="宋体" w:asciiTheme="minorEastAsia" w:hAnsiTheme="minorEastAsia"/>
                <w:b/>
                <w:kern w:val="0"/>
                <w:szCs w:val="21"/>
              </w:rPr>
              <w:t>根据企业资质等级，评价企业管理、技术人员专业结构配置是否合理。</w:t>
            </w:r>
          </w:p>
        </w:tc>
        <w:tc>
          <w:tcPr>
            <w:tcW w:w="6834" w:type="dxa"/>
            <w:vAlign w:val="center"/>
          </w:tcPr>
          <w:p>
            <w:pPr>
              <w:autoSpaceDE w:val="0"/>
              <w:autoSpaceDN w:val="0"/>
              <w:adjustRightInd w:val="0"/>
              <w:spacing w:line="300" w:lineRule="exact"/>
              <w:jc w:val="left"/>
              <w:rPr>
                <w:rFonts w:cs="宋体" w:asciiTheme="minorEastAsia" w:hAnsiTheme="minorEastAsia"/>
                <w:b/>
                <w:kern w:val="0"/>
                <w:szCs w:val="21"/>
              </w:rPr>
            </w:pPr>
            <w:r>
              <w:rPr>
                <w:rFonts w:hint="eastAsia" w:cs="宋体" w:asciiTheme="minorEastAsia" w:hAnsiTheme="minorEastAsia"/>
                <w:b/>
                <w:kern w:val="0"/>
                <w:szCs w:val="21"/>
              </w:rPr>
              <w:t>专业管理人员、中级以上职称管理人员、持有资格证书的专业人员符合本级资质规定人员数量和要求的，得</w:t>
            </w:r>
            <w:r>
              <w:rPr>
                <w:rFonts w:cs="Times New Roman" w:asciiTheme="minorEastAsia" w:hAnsiTheme="minorEastAsia"/>
                <w:b/>
                <w:kern w:val="0"/>
                <w:szCs w:val="21"/>
              </w:rPr>
              <w:t>1</w:t>
            </w:r>
            <w:r>
              <w:rPr>
                <w:rFonts w:hint="eastAsia" w:cs="宋体" w:asciiTheme="minorEastAsia" w:hAnsiTheme="minorEastAsia"/>
                <w:b/>
                <w:kern w:val="0"/>
                <w:szCs w:val="21"/>
              </w:rPr>
              <w:t>分；不符合的得</w:t>
            </w:r>
            <w:r>
              <w:rPr>
                <w:rFonts w:cs="宋体" w:asciiTheme="minorEastAsia" w:hAnsiTheme="minorEastAsia"/>
                <w:b/>
                <w:kern w:val="0"/>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1" w:type="dxa"/>
            <w:vMerge w:val="continue"/>
          </w:tcPr>
          <w:p/>
        </w:tc>
        <w:tc>
          <w:tcPr>
            <w:tcW w:w="1276" w:type="dxa"/>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1.4</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公司管理</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与治理</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w:t>
            </w:r>
            <w:r>
              <w:rPr>
                <w:rFonts w:cs="宋体" w:asciiTheme="minorEastAsia" w:hAnsiTheme="minorEastAsia"/>
                <w:b/>
                <w:kern w:val="0"/>
                <w:szCs w:val="21"/>
              </w:rPr>
              <w:t>3分）</w:t>
            </w:r>
          </w:p>
        </w:tc>
        <w:tc>
          <w:tcPr>
            <w:tcW w:w="1256" w:type="dxa"/>
            <w:vAlign w:val="center"/>
          </w:tcPr>
          <w:p>
            <w:pPr>
              <w:autoSpaceDE w:val="0"/>
              <w:autoSpaceDN w:val="0"/>
              <w:adjustRightInd w:val="0"/>
              <w:spacing w:line="300" w:lineRule="exact"/>
              <w:jc w:val="center"/>
              <w:rPr>
                <w:rFonts w:cs="宋体" w:asciiTheme="minorEastAsia" w:hAnsiTheme="minorEastAsia"/>
                <w:b/>
                <w:kern w:val="0"/>
                <w:szCs w:val="21"/>
              </w:rPr>
            </w:pPr>
          </w:p>
        </w:tc>
        <w:tc>
          <w:tcPr>
            <w:tcW w:w="1011" w:type="dxa"/>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3分</w:t>
            </w:r>
          </w:p>
        </w:tc>
        <w:tc>
          <w:tcPr>
            <w:tcW w:w="4060" w:type="dxa"/>
            <w:vAlign w:val="center"/>
          </w:tcPr>
          <w:p>
            <w:pPr>
              <w:autoSpaceDE w:val="0"/>
              <w:autoSpaceDN w:val="0"/>
              <w:adjustRightInd w:val="0"/>
              <w:spacing w:line="300" w:lineRule="exact"/>
              <w:rPr>
                <w:rFonts w:cs="宋体" w:asciiTheme="minorEastAsia" w:hAnsiTheme="minorEastAsia"/>
                <w:b/>
                <w:kern w:val="0"/>
                <w:szCs w:val="21"/>
              </w:rPr>
            </w:pPr>
            <w:r>
              <w:rPr>
                <w:rFonts w:hint="eastAsia" w:cs="宋体" w:asciiTheme="minorEastAsia" w:hAnsiTheme="minorEastAsia"/>
                <w:b/>
                <w:kern w:val="0"/>
                <w:szCs w:val="21"/>
              </w:rPr>
              <w:t>评价企业在公司管理与治理方面的职能是否明确。</w:t>
            </w:r>
          </w:p>
        </w:tc>
        <w:tc>
          <w:tcPr>
            <w:tcW w:w="6834" w:type="dxa"/>
            <w:vAlign w:val="center"/>
          </w:tcPr>
          <w:p>
            <w:pPr>
              <w:autoSpaceDE w:val="0"/>
              <w:autoSpaceDN w:val="0"/>
              <w:adjustRightInd w:val="0"/>
              <w:spacing w:line="300" w:lineRule="exact"/>
              <w:jc w:val="left"/>
              <w:rPr>
                <w:rFonts w:cs="宋体" w:asciiTheme="minorEastAsia" w:hAnsiTheme="minorEastAsia"/>
                <w:b/>
                <w:kern w:val="0"/>
                <w:szCs w:val="21"/>
              </w:rPr>
            </w:pPr>
            <w:r>
              <w:rPr>
                <w:rFonts w:hint="eastAsia" w:cs="宋体" w:asciiTheme="minorEastAsia" w:hAnsiTheme="minorEastAsia"/>
                <w:b/>
                <w:kern w:val="0"/>
                <w:szCs w:val="21"/>
              </w:rPr>
              <w:t>企业在管理、考核、奖惩、资金管控、人事任免等方面各项制度健全，制度执行过程均有留痕，得</w:t>
            </w:r>
            <w:r>
              <w:rPr>
                <w:rFonts w:cs="宋体" w:asciiTheme="minorEastAsia" w:hAnsiTheme="minorEastAsia"/>
                <w:b/>
                <w:kern w:val="0"/>
                <w:szCs w:val="21"/>
              </w:rPr>
              <w:t>3分；</w:t>
            </w:r>
          </w:p>
          <w:p>
            <w:pPr>
              <w:autoSpaceDE w:val="0"/>
              <w:autoSpaceDN w:val="0"/>
              <w:adjustRightInd w:val="0"/>
              <w:spacing w:line="300" w:lineRule="exact"/>
              <w:jc w:val="left"/>
              <w:rPr>
                <w:rFonts w:cs="宋体" w:asciiTheme="minorEastAsia" w:hAnsiTheme="minorEastAsia"/>
                <w:b/>
                <w:kern w:val="0"/>
                <w:szCs w:val="21"/>
              </w:rPr>
            </w:pPr>
            <w:r>
              <w:rPr>
                <w:rFonts w:hint="eastAsia" w:cs="宋体" w:asciiTheme="minorEastAsia" w:hAnsiTheme="minorEastAsia"/>
                <w:b/>
                <w:kern w:val="0"/>
                <w:szCs w:val="21"/>
              </w:rPr>
              <w:t>企业在管理、考核、奖惩、资金管控、人事任免等方面各项制度健全，但有</w:t>
            </w:r>
            <w:r>
              <w:rPr>
                <w:rFonts w:cs="宋体" w:asciiTheme="minorEastAsia" w:hAnsiTheme="minorEastAsia"/>
                <w:b/>
                <w:kern w:val="0"/>
                <w:szCs w:val="21"/>
              </w:rPr>
              <w:t>1-2项制度在执行过程中无留痕，得2分；</w:t>
            </w:r>
          </w:p>
          <w:p>
            <w:pPr>
              <w:autoSpaceDE w:val="0"/>
              <w:autoSpaceDN w:val="0"/>
              <w:adjustRightInd w:val="0"/>
              <w:spacing w:line="300" w:lineRule="exact"/>
              <w:jc w:val="left"/>
              <w:rPr>
                <w:rFonts w:cs="宋体" w:asciiTheme="minorEastAsia" w:hAnsiTheme="minorEastAsia"/>
                <w:b/>
                <w:kern w:val="0"/>
                <w:szCs w:val="21"/>
              </w:rPr>
            </w:pPr>
            <w:r>
              <w:rPr>
                <w:rFonts w:hint="eastAsia" w:cs="宋体" w:asciiTheme="minorEastAsia" w:hAnsiTheme="minorEastAsia"/>
                <w:b/>
                <w:kern w:val="0"/>
                <w:szCs w:val="21"/>
              </w:rPr>
              <w:t>企业在管理、考核、奖惩、资金管控、人事任免等方面各项制度健全，但有</w:t>
            </w:r>
            <w:r>
              <w:rPr>
                <w:rFonts w:cs="宋体" w:asciiTheme="minorEastAsia" w:hAnsiTheme="minorEastAsia"/>
                <w:b/>
                <w:kern w:val="0"/>
                <w:szCs w:val="21"/>
              </w:rPr>
              <w:t>3-4项制度在执行过程中无留痕，得1分；</w:t>
            </w:r>
          </w:p>
          <w:p>
            <w:pPr>
              <w:autoSpaceDE w:val="0"/>
              <w:autoSpaceDN w:val="0"/>
              <w:adjustRightInd w:val="0"/>
              <w:spacing w:line="300" w:lineRule="exact"/>
              <w:jc w:val="left"/>
              <w:rPr>
                <w:rFonts w:cs="宋体" w:asciiTheme="minorEastAsia" w:hAnsiTheme="minorEastAsia"/>
                <w:b/>
                <w:kern w:val="0"/>
                <w:szCs w:val="21"/>
              </w:rPr>
            </w:pPr>
            <w:r>
              <w:rPr>
                <w:rFonts w:hint="eastAsia" w:cs="宋体" w:asciiTheme="minorEastAsia" w:hAnsiTheme="minorEastAsia"/>
                <w:b/>
                <w:kern w:val="0"/>
                <w:szCs w:val="21"/>
              </w:rPr>
              <w:t>企业在管理、考核、奖惩、资金管控、人事任免等方面各项制度不健全，制度在执行过程中基本无留痕，得</w:t>
            </w:r>
            <w:r>
              <w:rPr>
                <w:rFonts w:cs="宋体" w:asciiTheme="minorEastAsia" w:hAnsiTheme="minorEastAsia"/>
                <w:b/>
                <w:kern w:val="0"/>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1" w:type="dxa"/>
            <w:vMerge w:val="continue"/>
          </w:tcPr>
          <w:p/>
        </w:tc>
        <w:tc>
          <w:tcPr>
            <w:tcW w:w="1276" w:type="dxa"/>
            <w:vMerge w:val="restart"/>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1.5</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财务信用</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能力</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w:t>
            </w:r>
            <w:r>
              <w:rPr>
                <w:rFonts w:cs="宋体" w:asciiTheme="minorEastAsia" w:hAnsiTheme="minorEastAsia"/>
                <w:b/>
                <w:kern w:val="0"/>
                <w:szCs w:val="21"/>
              </w:rPr>
              <w:t>10分）</w:t>
            </w:r>
          </w:p>
        </w:tc>
        <w:tc>
          <w:tcPr>
            <w:tcW w:w="1256" w:type="dxa"/>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1.5.1</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偿债能力</w:t>
            </w:r>
          </w:p>
        </w:tc>
        <w:tc>
          <w:tcPr>
            <w:tcW w:w="1011" w:type="dxa"/>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3</w:t>
            </w:r>
            <w:r>
              <w:rPr>
                <w:rFonts w:hint="eastAsia" w:cs="宋体" w:asciiTheme="minorEastAsia" w:hAnsiTheme="minorEastAsia"/>
                <w:b/>
                <w:kern w:val="0"/>
                <w:szCs w:val="21"/>
              </w:rPr>
              <w:t>分</w:t>
            </w:r>
          </w:p>
        </w:tc>
        <w:tc>
          <w:tcPr>
            <w:tcW w:w="4060" w:type="dxa"/>
            <w:vAlign w:val="center"/>
          </w:tcPr>
          <w:p>
            <w:pPr>
              <w:autoSpaceDE w:val="0"/>
              <w:autoSpaceDN w:val="0"/>
              <w:adjustRightInd w:val="0"/>
              <w:spacing w:line="300" w:lineRule="exact"/>
              <w:rPr>
                <w:rFonts w:cs="宋体" w:asciiTheme="minorEastAsia" w:hAnsiTheme="minorEastAsia"/>
                <w:b/>
                <w:kern w:val="0"/>
                <w:szCs w:val="21"/>
              </w:rPr>
            </w:pPr>
            <w:r>
              <w:rPr>
                <w:rFonts w:hint="eastAsia" w:cs="宋体" w:asciiTheme="minorEastAsia" w:hAnsiTheme="minorEastAsia"/>
                <w:b/>
                <w:kern w:val="0"/>
                <w:szCs w:val="21"/>
              </w:rPr>
              <w:t>通过评价偿债能力，反映企业持续经营的能力和风险。长期偿债能力考察产权比率；短期偿债能力考察现金流动负债比和速动比率。</w:t>
            </w:r>
          </w:p>
        </w:tc>
        <w:tc>
          <w:tcPr>
            <w:tcW w:w="6834" w:type="dxa"/>
            <w:vAlign w:val="center"/>
          </w:tcPr>
          <w:p>
            <w:pPr>
              <w:autoSpaceDE w:val="0"/>
              <w:autoSpaceDN w:val="0"/>
              <w:adjustRightInd w:val="0"/>
              <w:spacing w:line="300" w:lineRule="exact"/>
              <w:rPr>
                <w:rFonts w:cs="宋体" w:asciiTheme="minorEastAsia" w:hAnsiTheme="minorEastAsia"/>
                <w:b/>
                <w:kern w:val="0"/>
                <w:szCs w:val="21"/>
              </w:rPr>
            </w:pPr>
            <w:r>
              <w:rPr>
                <w:rFonts w:hint="eastAsia" w:cs="宋体" w:asciiTheme="minorEastAsia" w:hAnsiTheme="minorEastAsia"/>
                <w:b/>
                <w:kern w:val="0"/>
                <w:szCs w:val="21"/>
              </w:rPr>
              <w:t>根据国资委或当地相关部门发布的房地产全行业财务水平</w:t>
            </w:r>
            <w:r>
              <w:rPr>
                <w:rFonts w:cs="宋体" w:asciiTheme="minorEastAsia" w:hAnsiTheme="minorEastAsia"/>
                <w:b/>
                <w:kern w:val="0"/>
                <w:szCs w:val="21"/>
              </w:rPr>
              <w:t>,产权比率、现金流动负债比和速动比率每项优秀得</w:t>
            </w:r>
            <w:r>
              <w:rPr>
                <w:rFonts w:cs="Times New Roman" w:asciiTheme="minorEastAsia" w:hAnsiTheme="minorEastAsia"/>
                <w:b/>
                <w:kern w:val="0"/>
                <w:szCs w:val="21"/>
              </w:rPr>
              <w:t>1</w:t>
            </w:r>
            <w:r>
              <w:rPr>
                <w:rFonts w:hint="eastAsia" w:cs="宋体" w:asciiTheme="minorEastAsia" w:hAnsiTheme="minorEastAsia"/>
                <w:b/>
                <w:kern w:val="0"/>
                <w:szCs w:val="21"/>
              </w:rPr>
              <w:t>分；良好得</w:t>
            </w:r>
            <w:r>
              <w:rPr>
                <w:rFonts w:cs="Times New Roman" w:asciiTheme="minorEastAsia" w:hAnsiTheme="minorEastAsia"/>
                <w:b/>
                <w:kern w:val="0"/>
                <w:szCs w:val="21"/>
              </w:rPr>
              <w:t>0.8</w:t>
            </w:r>
            <w:r>
              <w:rPr>
                <w:rFonts w:hint="eastAsia" w:cs="宋体" w:asciiTheme="minorEastAsia" w:hAnsiTheme="minorEastAsia"/>
                <w:b/>
                <w:kern w:val="0"/>
                <w:szCs w:val="21"/>
              </w:rPr>
              <w:t>分；平均水平得</w:t>
            </w:r>
            <w:r>
              <w:rPr>
                <w:rFonts w:cs="Times New Roman" w:asciiTheme="minorEastAsia" w:hAnsiTheme="minorEastAsia"/>
                <w:b/>
                <w:kern w:val="0"/>
                <w:szCs w:val="21"/>
              </w:rPr>
              <w:t>0.5</w:t>
            </w:r>
            <w:r>
              <w:rPr>
                <w:rFonts w:hint="eastAsia" w:cs="宋体" w:asciiTheme="minorEastAsia" w:hAnsiTheme="minorEastAsia"/>
                <w:b/>
                <w:kern w:val="0"/>
                <w:szCs w:val="21"/>
              </w:rPr>
              <w:t>分。其中，产权比率</w:t>
            </w:r>
            <w:r>
              <w:rPr>
                <w:rFonts w:cs="Times New Roman" w:asciiTheme="minorEastAsia" w:hAnsiTheme="minorEastAsia"/>
                <w:b/>
                <w:kern w:val="0"/>
                <w:szCs w:val="21"/>
              </w:rPr>
              <w:t>=</w:t>
            </w:r>
            <w:r>
              <w:rPr>
                <w:rFonts w:hint="eastAsia" w:cs="宋体" w:asciiTheme="minorEastAsia" w:hAnsiTheme="minorEastAsia"/>
                <w:b/>
                <w:kern w:val="0"/>
                <w:szCs w:val="21"/>
              </w:rPr>
              <w:t>负债</w:t>
            </w:r>
            <w:r>
              <w:rPr>
                <w:rFonts w:cs="Times New Roman" w:asciiTheme="minorEastAsia" w:hAnsiTheme="minorEastAsia"/>
                <w:b/>
                <w:kern w:val="0"/>
                <w:szCs w:val="21"/>
              </w:rPr>
              <w:t>/</w:t>
            </w:r>
            <w:r>
              <w:rPr>
                <w:rFonts w:hint="eastAsia" w:cs="宋体" w:asciiTheme="minorEastAsia" w:hAnsiTheme="minorEastAsia"/>
                <w:b/>
                <w:kern w:val="0"/>
                <w:szCs w:val="21"/>
              </w:rPr>
              <w:t>所有者权益；</w:t>
            </w:r>
          </w:p>
          <w:p>
            <w:pPr>
              <w:autoSpaceDE w:val="0"/>
              <w:autoSpaceDN w:val="0"/>
              <w:adjustRightInd w:val="0"/>
              <w:spacing w:line="300" w:lineRule="exact"/>
              <w:jc w:val="left"/>
              <w:rPr>
                <w:rFonts w:cs="宋体" w:asciiTheme="minorEastAsia" w:hAnsiTheme="minorEastAsia"/>
                <w:b/>
                <w:kern w:val="0"/>
                <w:szCs w:val="21"/>
              </w:rPr>
            </w:pPr>
            <w:r>
              <w:rPr>
                <w:rFonts w:hint="eastAsia" w:cs="宋体" w:asciiTheme="minorEastAsia" w:hAnsiTheme="minorEastAsia"/>
                <w:b/>
                <w:kern w:val="0"/>
                <w:szCs w:val="21"/>
              </w:rPr>
              <w:t>速动比率</w:t>
            </w:r>
            <w:r>
              <w:rPr>
                <w:rFonts w:cs="Times New Roman" w:asciiTheme="minorEastAsia" w:hAnsiTheme="minorEastAsia"/>
                <w:b/>
                <w:kern w:val="0"/>
                <w:szCs w:val="21"/>
              </w:rPr>
              <w:t>=</w:t>
            </w:r>
            <w:r>
              <w:rPr>
                <w:rFonts w:hint="eastAsia" w:cs="宋体" w:asciiTheme="minorEastAsia" w:hAnsiTheme="minorEastAsia"/>
                <w:b/>
                <w:kern w:val="0"/>
                <w:szCs w:val="21"/>
              </w:rPr>
              <w:t>速动资产</w:t>
            </w:r>
            <w:r>
              <w:rPr>
                <w:rFonts w:cs="Times New Roman" w:asciiTheme="minorEastAsia" w:hAnsiTheme="minorEastAsia"/>
                <w:b/>
                <w:kern w:val="0"/>
                <w:szCs w:val="21"/>
              </w:rPr>
              <w:t>/</w:t>
            </w:r>
            <w:r>
              <w:rPr>
                <w:rFonts w:hint="eastAsia" w:cs="宋体" w:asciiTheme="minorEastAsia" w:hAnsiTheme="minorEastAsia"/>
                <w:b/>
                <w:kern w:val="0"/>
                <w:szCs w:val="21"/>
              </w:rPr>
              <w:t>流动负债；现金流动负债比</w:t>
            </w:r>
            <w:r>
              <w:rPr>
                <w:rFonts w:cs="Times New Roman" w:asciiTheme="minorEastAsia" w:hAnsiTheme="minorEastAsia"/>
                <w:b/>
                <w:kern w:val="0"/>
                <w:szCs w:val="21"/>
              </w:rPr>
              <w:t>=</w:t>
            </w:r>
            <w:r>
              <w:rPr>
                <w:rFonts w:hint="eastAsia" w:cs="宋体" w:asciiTheme="minorEastAsia" w:hAnsiTheme="minorEastAsia"/>
                <w:b/>
                <w:kern w:val="0"/>
                <w:szCs w:val="21"/>
              </w:rPr>
              <w:t>经营活动现金流量</w:t>
            </w:r>
            <w:r>
              <w:rPr>
                <w:rFonts w:cs="Times New Roman" w:asciiTheme="minorEastAsia" w:hAnsiTheme="minorEastAsia"/>
                <w:b/>
                <w:kern w:val="0"/>
                <w:szCs w:val="21"/>
              </w:rPr>
              <w:t>/</w:t>
            </w:r>
            <w:r>
              <w:rPr>
                <w:rFonts w:hint="eastAsia" w:cs="宋体" w:asciiTheme="minorEastAsia" w:hAnsiTheme="minorEastAsia"/>
                <w:b/>
                <w:kern w:val="0"/>
                <w:szCs w:val="21"/>
              </w:rPr>
              <w:t>流动负债。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1" w:type="dxa"/>
            <w:vMerge w:val="continue"/>
          </w:tcPr>
          <w:p/>
        </w:tc>
        <w:tc>
          <w:tcPr>
            <w:tcW w:w="1276" w:type="dxa"/>
            <w:vMerge w:val="continue"/>
            <w:vAlign w:val="center"/>
          </w:tcPr>
          <w:p>
            <w:pPr>
              <w:jc w:val="center"/>
            </w:pPr>
          </w:p>
        </w:tc>
        <w:tc>
          <w:tcPr>
            <w:tcW w:w="1256" w:type="dxa"/>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1.5.2</w:t>
            </w:r>
          </w:p>
          <w:p>
            <w:pPr>
              <w:jc w:val="center"/>
            </w:pPr>
            <w:r>
              <w:rPr>
                <w:rFonts w:hint="eastAsia" w:cs="宋体" w:asciiTheme="minorEastAsia" w:hAnsiTheme="minorEastAsia"/>
                <w:b/>
                <w:kern w:val="0"/>
                <w:szCs w:val="21"/>
              </w:rPr>
              <w:t>运营能力</w:t>
            </w:r>
          </w:p>
        </w:tc>
        <w:tc>
          <w:tcPr>
            <w:tcW w:w="1011" w:type="dxa"/>
            <w:vAlign w:val="center"/>
          </w:tcPr>
          <w:p>
            <w:pPr>
              <w:jc w:val="center"/>
            </w:pPr>
            <w:r>
              <w:rPr>
                <w:rFonts w:hint="eastAsia" w:cs="宋体" w:asciiTheme="minorEastAsia" w:hAnsiTheme="minorEastAsia"/>
                <w:b/>
                <w:kern w:val="0"/>
                <w:szCs w:val="21"/>
              </w:rPr>
              <w:t>3</w:t>
            </w:r>
            <w:r>
              <w:rPr>
                <w:rFonts w:cs="宋体" w:asciiTheme="minorEastAsia" w:hAnsiTheme="minorEastAsia"/>
                <w:b/>
                <w:kern w:val="0"/>
                <w:szCs w:val="21"/>
              </w:rPr>
              <w:t>分</w:t>
            </w:r>
          </w:p>
        </w:tc>
        <w:tc>
          <w:tcPr>
            <w:tcW w:w="4060" w:type="dxa"/>
            <w:vAlign w:val="center"/>
          </w:tcPr>
          <w:p>
            <w:r>
              <w:rPr>
                <w:rFonts w:hint="eastAsia" w:cs="宋体" w:asciiTheme="minorEastAsia" w:hAnsiTheme="minorEastAsia"/>
                <w:b/>
                <w:kern w:val="0"/>
                <w:szCs w:val="21"/>
              </w:rPr>
              <w:t>通过评价运营能力，反映企业持续经营、良性发展的能力。主要考察应收账款周转率和存货周转率。</w:t>
            </w:r>
          </w:p>
        </w:tc>
        <w:tc>
          <w:tcPr>
            <w:tcW w:w="6834" w:type="dxa"/>
            <w:vAlign w:val="center"/>
          </w:tcPr>
          <w:p>
            <w:r>
              <w:rPr>
                <w:rFonts w:hint="eastAsia" w:cs="宋体" w:asciiTheme="minorEastAsia" w:hAnsiTheme="minorEastAsia"/>
                <w:b/>
                <w:kern w:val="0"/>
                <w:szCs w:val="21"/>
              </w:rPr>
              <w:t>根据国资委或当地相关部门发布的房地产全行业财务水平，存货周转率和应收账款周转率优秀得</w:t>
            </w:r>
            <w:r>
              <w:rPr>
                <w:rFonts w:cs="Times New Roman" w:asciiTheme="minorEastAsia" w:hAnsiTheme="minorEastAsia"/>
                <w:b/>
                <w:kern w:val="0"/>
                <w:szCs w:val="21"/>
              </w:rPr>
              <w:t>1</w:t>
            </w:r>
            <w:r>
              <w:rPr>
                <w:rFonts w:hint="eastAsia" w:cs="宋体" w:asciiTheme="minorEastAsia" w:hAnsiTheme="minorEastAsia"/>
                <w:b/>
                <w:kern w:val="0"/>
                <w:szCs w:val="21"/>
              </w:rPr>
              <w:t>分；良好得</w:t>
            </w:r>
            <w:r>
              <w:rPr>
                <w:rFonts w:cs="Times New Roman" w:asciiTheme="minorEastAsia" w:hAnsiTheme="minorEastAsia"/>
                <w:b/>
                <w:kern w:val="0"/>
                <w:szCs w:val="21"/>
              </w:rPr>
              <w:t>0.8</w:t>
            </w:r>
            <w:r>
              <w:rPr>
                <w:rFonts w:hint="eastAsia" w:cs="宋体" w:asciiTheme="minorEastAsia" w:hAnsiTheme="minorEastAsia"/>
                <w:b/>
                <w:kern w:val="0"/>
                <w:szCs w:val="21"/>
              </w:rPr>
              <w:t>分；平均水平得</w:t>
            </w:r>
            <w:r>
              <w:rPr>
                <w:rFonts w:cs="Times New Roman" w:asciiTheme="minorEastAsia" w:hAnsiTheme="minorEastAsia"/>
                <w:b/>
                <w:kern w:val="0"/>
                <w:szCs w:val="21"/>
              </w:rPr>
              <w:t>0.5</w:t>
            </w:r>
            <w:r>
              <w:rPr>
                <w:rFonts w:hint="eastAsia" w:cs="宋体" w:asciiTheme="minorEastAsia" w:hAnsiTheme="minorEastAsia"/>
                <w:b/>
                <w:kern w:val="0"/>
                <w:szCs w:val="21"/>
              </w:rPr>
              <w:t>分。其中，存货周转率</w:t>
            </w:r>
            <w:r>
              <w:rPr>
                <w:rFonts w:cs="Times New Roman" w:asciiTheme="minorEastAsia" w:hAnsiTheme="minorEastAsia"/>
                <w:b/>
                <w:kern w:val="0"/>
                <w:szCs w:val="21"/>
              </w:rPr>
              <w:t>=</w:t>
            </w:r>
            <w:r>
              <w:rPr>
                <w:rFonts w:hint="eastAsia" w:cs="宋体" w:asciiTheme="minorEastAsia" w:hAnsiTheme="minorEastAsia"/>
                <w:b/>
                <w:kern w:val="0"/>
                <w:szCs w:val="21"/>
              </w:rPr>
              <w:t>销售收入</w:t>
            </w:r>
            <w:r>
              <w:rPr>
                <w:rFonts w:cs="Times New Roman" w:asciiTheme="minorEastAsia" w:hAnsiTheme="minorEastAsia"/>
                <w:b/>
                <w:kern w:val="0"/>
                <w:szCs w:val="21"/>
              </w:rPr>
              <w:t>/</w:t>
            </w:r>
            <w:r>
              <w:rPr>
                <w:rFonts w:hint="eastAsia" w:cs="宋体" w:asciiTheme="minorEastAsia" w:hAnsiTheme="minorEastAsia"/>
                <w:b/>
                <w:kern w:val="0"/>
                <w:szCs w:val="21"/>
              </w:rPr>
              <w:t>平均存货余额；应收账款周转率</w:t>
            </w:r>
            <w:r>
              <w:rPr>
                <w:rFonts w:cs="Times New Roman" w:asciiTheme="minorEastAsia" w:hAnsiTheme="minorEastAsia"/>
                <w:b/>
                <w:kern w:val="0"/>
                <w:szCs w:val="21"/>
              </w:rPr>
              <w:t>=</w:t>
            </w:r>
            <w:r>
              <w:rPr>
                <w:rFonts w:hint="eastAsia" w:cs="宋体" w:asciiTheme="minorEastAsia" w:hAnsiTheme="minorEastAsia"/>
                <w:b/>
                <w:kern w:val="0"/>
                <w:szCs w:val="21"/>
              </w:rPr>
              <w:t>销售收入</w:t>
            </w:r>
            <w:r>
              <w:rPr>
                <w:rFonts w:cs="Times New Roman" w:asciiTheme="minorEastAsia" w:hAnsiTheme="minorEastAsia"/>
                <w:b/>
                <w:kern w:val="0"/>
                <w:szCs w:val="21"/>
              </w:rPr>
              <w:t>/</w:t>
            </w:r>
            <w:r>
              <w:rPr>
                <w:rFonts w:hint="eastAsia" w:cs="宋体" w:asciiTheme="minorEastAsia" w:hAnsiTheme="minorEastAsia"/>
                <w:b/>
                <w:kern w:val="0"/>
                <w:szCs w:val="21"/>
              </w:rPr>
              <w:t>平均应收账款</w:t>
            </w:r>
            <w:r>
              <w:rPr>
                <w:rFonts w:cs="宋体" w:asciiTheme="minorEastAsia" w:hAnsiTheme="minorEastAsia"/>
                <w:b/>
                <w:kern w:val="0"/>
                <w:szCs w:val="21"/>
              </w:rPr>
              <w:t>(加权平均)</w:t>
            </w:r>
            <w:r>
              <w:rPr>
                <w:rFonts w:hint="eastAsia" w:cs="宋体" w:asciiTheme="minorEastAsia" w:hAnsiTheme="minorEastAsia"/>
                <w:b/>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1" w:type="dxa"/>
            <w:vMerge w:val="continue"/>
          </w:tcPr>
          <w:p/>
        </w:tc>
        <w:tc>
          <w:tcPr>
            <w:tcW w:w="1276" w:type="dxa"/>
            <w:vMerge w:val="continue"/>
            <w:vAlign w:val="center"/>
          </w:tcPr>
          <w:p>
            <w:pPr>
              <w:jc w:val="center"/>
            </w:pPr>
          </w:p>
        </w:tc>
        <w:tc>
          <w:tcPr>
            <w:tcW w:w="1256" w:type="dxa"/>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1.5.</w:t>
            </w:r>
            <w:r>
              <w:rPr>
                <w:rFonts w:hint="eastAsia" w:cs="宋体" w:asciiTheme="minorEastAsia" w:hAnsiTheme="minorEastAsia"/>
                <w:b/>
                <w:kern w:val="0"/>
                <w:szCs w:val="21"/>
              </w:rPr>
              <w:t>3</w:t>
            </w:r>
          </w:p>
          <w:p>
            <w:pPr>
              <w:jc w:val="center"/>
            </w:pPr>
            <w:r>
              <w:rPr>
                <w:rFonts w:hint="eastAsia" w:cs="宋体" w:asciiTheme="minorEastAsia" w:hAnsiTheme="minorEastAsia"/>
                <w:b/>
                <w:kern w:val="0"/>
                <w:szCs w:val="21"/>
              </w:rPr>
              <w:t>盈利能力</w:t>
            </w:r>
          </w:p>
        </w:tc>
        <w:tc>
          <w:tcPr>
            <w:tcW w:w="1011" w:type="dxa"/>
            <w:vAlign w:val="center"/>
          </w:tcPr>
          <w:p>
            <w:pPr>
              <w:jc w:val="center"/>
            </w:pPr>
            <w:r>
              <w:rPr>
                <w:rFonts w:cs="宋体" w:asciiTheme="minorEastAsia" w:hAnsiTheme="minorEastAsia"/>
                <w:b/>
                <w:kern w:val="0"/>
                <w:szCs w:val="21"/>
              </w:rPr>
              <w:t>2分</w:t>
            </w:r>
          </w:p>
        </w:tc>
        <w:tc>
          <w:tcPr>
            <w:tcW w:w="4060" w:type="dxa"/>
            <w:vAlign w:val="center"/>
          </w:tcPr>
          <w:p>
            <w:r>
              <w:rPr>
                <w:rFonts w:hint="eastAsia" w:cs="宋体" w:asciiTheme="minorEastAsia" w:hAnsiTheme="minorEastAsia"/>
                <w:b/>
                <w:kern w:val="0"/>
                <w:szCs w:val="21"/>
              </w:rPr>
              <w:t>通过评价盈利能力，考察近三年企业平均总资产收益率和近三年净资产收益率。</w:t>
            </w:r>
          </w:p>
        </w:tc>
        <w:tc>
          <w:tcPr>
            <w:tcW w:w="6834" w:type="dxa"/>
            <w:vAlign w:val="center"/>
          </w:tcPr>
          <w:p>
            <w:r>
              <w:rPr>
                <w:rFonts w:hint="eastAsia" w:cs="宋体" w:asciiTheme="minorEastAsia" w:hAnsiTheme="minorEastAsia"/>
                <w:b/>
                <w:kern w:val="0"/>
                <w:szCs w:val="21"/>
              </w:rPr>
              <w:t>根据国资委或当地相关部门发布的房地产全行业财务水平</w:t>
            </w:r>
            <w:r>
              <w:rPr>
                <w:rFonts w:cs="宋体" w:asciiTheme="minorEastAsia" w:hAnsiTheme="minorEastAsia"/>
                <w:b/>
                <w:kern w:val="0"/>
                <w:szCs w:val="21"/>
              </w:rPr>
              <w:t>,每项指标优秀得</w:t>
            </w:r>
            <w:r>
              <w:rPr>
                <w:rFonts w:cs="Times New Roman" w:asciiTheme="minorEastAsia" w:hAnsiTheme="minorEastAsia"/>
                <w:b/>
                <w:kern w:val="0"/>
                <w:szCs w:val="21"/>
              </w:rPr>
              <w:t>1</w:t>
            </w:r>
            <w:r>
              <w:rPr>
                <w:rFonts w:hint="eastAsia" w:cs="宋体" w:asciiTheme="minorEastAsia" w:hAnsiTheme="minorEastAsia"/>
                <w:b/>
                <w:kern w:val="0"/>
                <w:szCs w:val="21"/>
              </w:rPr>
              <w:t>分；良好得</w:t>
            </w:r>
            <w:r>
              <w:rPr>
                <w:rFonts w:cs="Times New Roman" w:asciiTheme="minorEastAsia" w:hAnsiTheme="minorEastAsia"/>
                <w:b/>
                <w:kern w:val="0"/>
                <w:szCs w:val="21"/>
              </w:rPr>
              <w:t>0.8</w:t>
            </w:r>
            <w:r>
              <w:rPr>
                <w:rFonts w:hint="eastAsia" w:cs="宋体" w:asciiTheme="minorEastAsia" w:hAnsiTheme="minorEastAsia"/>
                <w:b/>
                <w:kern w:val="0"/>
                <w:szCs w:val="21"/>
              </w:rPr>
              <w:t>分；平均水平得</w:t>
            </w:r>
            <w:r>
              <w:rPr>
                <w:rFonts w:cs="Times New Roman" w:asciiTheme="minorEastAsia" w:hAnsiTheme="minorEastAsia"/>
                <w:b/>
                <w:kern w:val="0"/>
                <w:szCs w:val="21"/>
              </w:rPr>
              <w:t>0.5</w:t>
            </w:r>
            <w:r>
              <w:rPr>
                <w:rFonts w:hint="eastAsia" w:cs="宋体" w:asciiTheme="minorEastAsia" w:hAnsiTheme="minorEastAsia"/>
                <w:b/>
                <w:kern w:val="0"/>
                <w:szCs w:val="21"/>
              </w:rPr>
              <w:t>分。其中，总资产收益率</w:t>
            </w:r>
            <w:r>
              <w:rPr>
                <w:rFonts w:cs="宋体" w:asciiTheme="minorEastAsia" w:hAnsiTheme="minorEastAsia"/>
                <w:b/>
                <w:kern w:val="0"/>
                <w:szCs w:val="21"/>
              </w:rPr>
              <w:t>=净收益/总资产；</w:t>
            </w:r>
            <w:r>
              <w:rPr>
                <w:rFonts w:hint="eastAsia" w:cs="宋体" w:asciiTheme="minorEastAsia" w:hAnsiTheme="minorEastAsia"/>
                <w:b/>
                <w:kern w:val="0"/>
                <w:szCs w:val="21"/>
              </w:rPr>
              <w:t>净资产收益率</w:t>
            </w:r>
            <w:r>
              <w:rPr>
                <w:rFonts w:cs="宋体" w:asciiTheme="minorEastAsia" w:hAnsiTheme="minorEastAsia"/>
                <w:b/>
                <w:kern w:val="0"/>
                <w:szCs w:val="21"/>
              </w:rPr>
              <w:t>=净收益/所有者权益</w:t>
            </w:r>
            <w:r>
              <w:rPr>
                <w:rFonts w:hint="eastAsia" w:cs="宋体" w:asciiTheme="minorEastAsia" w:hAnsiTheme="minorEastAsia"/>
                <w:b/>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1" w:type="dxa"/>
            <w:vMerge w:val="continue"/>
          </w:tcPr>
          <w:p/>
        </w:tc>
        <w:tc>
          <w:tcPr>
            <w:tcW w:w="1276" w:type="dxa"/>
            <w:vMerge w:val="continue"/>
            <w:vAlign w:val="center"/>
          </w:tcPr>
          <w:p>
            <w:pPr>
              <w:jc w:val="center"/>
            </w:pPr>
          </w:p>
        </w:tc>
        <w:tc>
          <w:tcPr>
            <w:tcW w:w="1256" w:type="dxa"/>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1.5.</w:t>
            </w:r>
            <w:r>
              <w:rPr>
                <w:rFonts w:hint="eastAsia" w:cs="宋体" w:asciiTheme="minorEastAsia" w:hAnsiTheme="minorEastAsia"/>
                <w:b/>
                <w:kern w:val="0"/>
                <w:szCs w:val="21"/>
              </w:rPr>
              <w:t>4</w:t>
            </w:r>
          </w:p>
          <w:p>
            <w:pPr>
              <w:jc w:val="center"/>
            </w:pPr>
            <w:r>
              <w:rPr>
                <w:rFonts w:hint="eastAsia" w:cs="宋体" w:asciiTheme="minorEastAsia" w:hAnsiTheme="minorEastAsia"/>
                <w:b/>
                <w:kern w:val="0"/>
                <w:szCs w:val="21"/>
              </w:rPr>
              <w:t>财务信息质量</w:t>
            </w:r>
          </w:p>
        </w:tc>
        <w:tc>
          <w:tcPr>
            <w:tcW w:w="1011" w:type="dxa"/>
            <w:vAlign w:val="center"/>
          </w:tcPr>
          <w:p>
            <w:pPr>
              <w:jc w:val="center"/>
            </w:pPr>
            <w:r>
              <w:rPr>
                <w:rFonts w:hint="eastAsia" w:cs="宋体" w:asciiTheme="minorEastAsia" w:hAnsiTheme="minorEastAsia"/>
                <w:b/>
                <w:kern w:val="0"/>
                <w:szCs w:val="21"/>
              </w:rPr>
              <w:t>2</w:t>
            </w:r>
            <w:r>
              <w:rPr>
                <w:rFonts w:cs="宋体" w:asciiTheme="minorEastAsia" w:hAnsiTheme="minorEastAsia"/>
                <w:b/>
                <w:kern w:val="0"/>
                <w:szCs w:val="21"/>
              </w:rPr>
              <w:t>分</w:t>
            </w:r>
          </w:p>
        </w:tc>
        <w:tc>
          <w:tcPr>
            <w:tcW w:w="4060" w:type="dxa"/>
            <w:vAlign w:val="center"/>
          </w:tcPr>
          <w:p>
            <w:r>
              <w:rPr>
                <w:rFonts w:hint="eastAsia" w:cs="宋体" w:asciiTheme="minorEastAsia" w:hAnsiTheme="minorEastAsia"/>
                <w:b/>
                <w:kern w:val="0"/>
                <w:szCs w:val="21"/>
              </w:rPr>
              <w:t>通过评价企业近三年财务报告审计情况及审计意见类型，考察财务信息质量。</w:t>
            </w:r>
          </w:p>
        </w:tc>
        <w:tc>
          <w:tcPr>
            <w:tcW w:w="6834" w:type="dxa"/>
            <w:vAlign w:val="center"/>
          </w:tcPr>
          <w:p>
            <w:pPr>
              <w:autoSpaceDE w:val="0"/>
              <w:autoSpaceDN w:val="0"/>
              <w:adjustRightInd w:val="0"/>
              <w:spacing w:line="300" w:lineRule="exact"/>
              <w:rPr>
                <w:rFonts w:cs="宋体" w:asciiTheme="minorEastAsia" w:hAnsiTheme="minorEastAsia"/>
                <w:b/>
                <w:kern w:val="0"/>
                <w:szCs w:val="21"/>
              </w:rPr>
            </w:pPr>
            <w:r>
              <w:rPr>
                <w:rFonts w:hint="eastAsia" w:cs="宋体" w:asciiTheme="minorEastAsia" w:hAnsiTheme="minorEastAsia"/>
                <w:b/>
                <w:kern w:val="0"/>
                <w:szCs w:val="21"/>
              </w:rPr>
              <w:t>财务报表已审计，出具无保留的标准审计意见，得</w:t>
            </w:r>
            <w:r>
              <w:rPr>
                <w:rFonts w:cs="宋体" w:asciiTheme="minorEastAsia" w:hAnsiTheme="minorEastAsia"/>
                <w:b/>
                <w:kern w:val="0"/>
                <w:szCs w:val="21"/>
              </w:rPr>
              <w:t>1分；</w:t>
            </w:r>
          </w:p>
          <w:p>
            <w:pPr>
              <w:autoSpaceDE w:val="0"/>
              <w:autoSpaceDN w:val="0"/>
              <w:adjustRightInd w:val="0"/>
              <w:spacing w:line="300" w:lineRule="exact"/>
              <w:rPr>
                <w:rFonts w:cs="宋体" w:asciiTheme="minorEastAsia" w:hAnsiTheme="minorEastAsia"/>
                <w:b/>
                <w:kern w:val="0"/>
                <w:szCs w:val="21"/>
              </w:rPr>
            </w:pPr>
            <w:r>
              <w:rPr>
                <w:rFonts w:hint="eastAsia" w:cs="宋体" w:asciiTheme="minorEastAsia" w:hAnsiTheme="minorEastAsia"/>
                <w:b/>
                <w:kern w:val="0"/>
                <w:szCs w:val="21"/>
              </w:rPr>
              <w:t>财务报表已审计，出具非标准审计意见，得</w:t>
            </w:r>
            <w:r>
              <w:rPr>
                <w:rFonts w:cs="宋体" w:asciiTheme="minorEastAsia" w:hAnsiTheme="minorEastAsia"/>
                <w:b/>
                <w:kern w:val="0"/>
                <w:szCs w:val="21"/>
              </w:rPr>
              <w:t>0.5</w:t>
            </w:r>
            <w:r>
              <w:rPr>
                <w:rFonts w:hint="eastAsia" w:cs="宋体" w:asciiTheme="minorEastAsia" w:hAnsiTheme="minorEastAsia"/>
                <w:b/>
                <w:kern w:val="0"/>
                <w:szCs w:val="21"/>
              </w:rPr>
              <w:t>分；</w:t>
            </w:r>
          </w:p>
          <w:p>
            <w:pPr>
              <w:autoSpaceDE w:val="0"/>
              <w:autoSpaceDN w:val="0"/>
              <w:adjustRightInd w:val="0"/>
              <w:spacing w:line="300" w:lineRule="exact"/>
              <w:rPr>
                <w:rFonts w:cs="宋体" w:asciiTheme="minorEastAsia" w:hAnsiTheme="minorEastAsia"/>
                <w:b/>
                <w:kern w:val="0"/>
                <w:szCs w:val="21"/>
              </w:rPr>
            </w:pPr>
            <w:r>
              <w:rPr>
                <w:rFonts w:hint="eastAsia" w:cs="宋体" w:asciiTheme="minorEastAsia" w:hAnsiTheme="minorEastAsia"/>
                <w:b/>
                <w:kern w:val="0"/>
                <w:szCs w:val="21"/>
              </w:rPr>
              <w:t>财务报表未审计，得</w:t>
            </w:r>
            <w:r>
              <w:rPr>
                <w:rFonts w:cs="宋体" w:asciiTheme="minorEastAsia" w:hAnsiTheme="minorEastAsia"/>
                <w:b/>
                <w:kern w:val="0"/>
                <w:szCs w:val="21"/>
              </w:rPr>
              <w:t>0</w:t>
            </w:r>
            <w:r>
              <w:rPr>
                <w:rFonts w:hint="eastAsia" w:cs="宋体" w:asciiTheme="minorEastAsia" w:hAnsiTheme="minorEastAsia"/>
                <w:b/>
                <w:kern w:val="0"/>
                <w:szCs w:val="21"/>
              </w:rPr>
              <w:t>分；</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1" w:type="dxa"/>
            <w:vAlign w:val="center"/>
          </w:tcPr>
          <w:p>
            <w:pPr>
              <w:autoSpaceDE w:val="0"/>
              <w:autoSpaceDN w:val="0"/>
              <w:adjustRightInd w:val="0"/>
              <w:jc w:val="center"/>
              <w:rPr>
                <w:rFonts w:cs="宋体" w:asciiTheme="minorEastAsia" w:hAnsiTheme="minorEastAsia"/>
                <w:b/>
                <w:bCs/>
                <w:kern w:val="0"/>
                <w:szCs w:val="21"/>
              </w:rPr>
            </w:pPr>
            <w:r>
              <w:rPr>
                <w:rFonts w:hint="eastAsia" w:cs="宋体" w:asciiTheme="minorEastAsia" w:hAnsiTheme="minorEastAsia"/>
                <w:b/>
                <w:bCs/>
                <w:kern w:val="0"/>
                <w:szCs w:val="21"/>
              </w:rPr>
              <w:t>一级指标</w:t>
            </w:r>
          </w:p>
        </w:tc>
        <w:tc>
          <w:tcPr>
            <w:tcW w:w="1276" w:type="dxa"/>
            <w:vAlign w:val="center"/>
          </w:tcPr>
          <w:p>
            <w:pPr>
              <w:autoSpaceDE w:val="0"/>
              <w:autoSpaceDN w:val="0"/>
              <w:adjustRightInd w:val="0"/>
              <w:jc w:val="center"/>
              <w:rPr>
                <w:rFonts w:cs="宋体" w:asciiTheme="minorEastAsia" w:hAnsiTheme="minorEastAsia"/>
                <w:b/>
                <w:bCs/>
                <w:kern w:val="0"/>
                <w:szCs w:val="21"/>
              </w:rPr>
            </w:pPr>
            <w:r>
              <w:rPr>
                <w:rFonts w:hint="eastAsia" w:cs="宋体" w:asciiTheme="minorEastAsia" w:hAnsiTheme="minorEastAsia"/>
                <w:b/>
                <w:bCs/>
                <w:kern w:val="0"/>
                <w:szCs w:val="21"/>
              </w:rPr>
              <w:t>二级指标</w:t>
            </w:r>
          </w:p>
        </w:tc>
        <w:tc>
          <w:tcPr>
            <w:tcW w:w="1256" w:type="dxa"/>
            <w:vAlign w:val="center"/>
          </w:tcPr>
          <w:p>
            <w:pPr>
              <w:autoSpaceDE w:val="0"/>
              <w:autoSpaceDN w:val="0"/>
              <w:adjustRightInd w:val="0"/>
              <w:jc w:val="center"/>
              <w:rPr>
                <w:rFonts w:cs="宋体" w:asciiTheme="minorEastAsia" w:hAnsiTheme="minorEastAsia"/>
                <w:b/>
                <w:bCs/>
                <w:kern w:val="0"/>
                <w:szCs w:val="21"/>
              </w:rPr>
            </w:pPr>
            <w:r>
              <w:rPr>
                <w:rFonts w:hint="eastAsia" w:cs="宋体" w:asciiTheme="minorEastAsia" w:hAnsiTheme="minorEastAsia"/>
                <w:b/>
                <w:bCs/>
                <w:kern w:val="0"/>
                <w:szCs w:val="21"/>
              </w:rPr>
              <w:t>三级指标</w:t>
            </w:r>
          </w:p>
        </w:tc>
        <w:tc>
          <w:tcPr>
            <w:tcW w:w="1011" w:type="dxa"/>
            <w:vAlign w:val="center"/>
          </w:tcPr>
          <w:p>
            <w:pPr>
              <w:autoSpaceDE w:val="0"/>
              <w:autoSpaceDN w:val="0"/>
              <w:adjustRightInd w:val="0"/>
              <w:jc w:val="center"/>
              <w:rPr>
                <w:rFonts w:cs="宋体" w:asciiTheme="minorEastAsia" w:hAnsiTheme="minorEastAsia"/>
                <w:b/>
                <w:bCs/>
                <w:kern w:val="0"/>
                <w:szCs w:val="21"/>
              </w:rPr>
            </w:pPr>
            <w:r>
              <w:rPr>
                <w:rFonts w:hint="eastAsia" w:cs="宋体" w:asciiTheme="minorEastAsia" w:hAnsiTheme="minorEastAsia"/>
                <w:b/>
                <w:bCs/>
                <w:kern w:val="0"/>
                <w:szCs w:val="21"/>
              </w:rPr>
              <w:t>分值</w:t>
            </w:r>
          </w:p>
        </w:tc>
        <w:tc>
          <w:tcPr>
            <w:tcW w:w="4060" w:type="dxa"/>
            <w:vAlign w:val="center"/>
          </w:tcPr>
          <w:p>
            <w:pPr>
              <w:autoSpaceDE w:val="0"/>
              <w:autoSpaceDN w:val="0"/>
              <w:adjustRightInd w:val="0"/>
              <w:jc w:val="center"/>
              <w:rPr>
                <w:rFonts w:cs="宋体" w:asciiTheme="minorEastAsia" w:hAnsiTheme="minorEastAsia"/>
                <w:b/>
                <w:bCs/>
                <w:kern w:val="0"/>
                <w:szCs w:val="21"/>
              </w:rPr>
            </w:pPr>
            <w:r>
              <w:rPr>
                <w:rFonts w:hint="eastAsia" w:cs="宋体" w:asciiTheme="minorEastAsia" w:hAnsiTheme="minorEastAsia"/>
                <w:b/>
                <w:bCs/>
                <w:kern w:val="0"/>
                <w:szCs w:val="21"/>
              </w:rPr>
              <w:t>指标说明</w:t>
            </w:r>
          </w:p>
        </w:tc>
        <w:tc>
          <w:tcPr>
            <w:tcW w:w="6834" w:type="dxa"/>
            <w:vAlign w:val="center"/>
          </w:tcPr>
          <w:p>
            <w:pPr>
              <w:autoSpaceDE w:val="0"/>
              <w:autoSpaceDN w:val="0"/>
              <w:adjustRightInd w:val="0"/>
              <w:jc w:val="center"/>
              <w:rPr>
                <w:rFonts w:cs="宋体" w:asciiTheme="minorEastAsia" w:hAnsiTheme="minorEastAsia"/>
                <w:b/>
                <w:bCs/>
                <w:kern w:val="0"/>
                <w:szCs w:val="21"/>
              </w:rPr>
            </w:pPr>
            <w:r>
              <w:rPr>
                <w:rFonts w:hint="eastAsia" w:cs="宋体" w:asciiTheme="minorEastAsia" w:hAnsiTheme="minorEastAsia"/>
                <w:b/>
                <w:bCs/>
                <w:kern w:val="0"/>
                <w:szCs w:val="21"/>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1" w:type="dxa"/>
            <w:vMerge w:val="restart"/>
            <w:vAlign w:val="center"/>
          </w:tcPr>
          <w:p>
            <w:pPr>
              <w:autoSpaceDE w:val="0"/>
              <w:autoSpaceDN w:val="0"/>
              <w:adjustRightInd w:val="0"/>
              <w:spacing w:line="300" w:lineRule="exact"/>
              <w:jc w:val="center"/>
              <w:rPr>
                <w:rFonts w:cs="宋体" w:asciiTheme="minorEastAsia" w:hAnsiTheme="minorEastAsia"/>
                <w:b/>
                <w:bCs/>
                <w:kern w:val="0"/>
                <w:szCs w:val="21"/>
              </w:rPr>
            </w:pPr>
            <w:r>
              <w:rPr>
                <w:rFonts w:cs="宋体" w:asciiTheme="minorEastAsia" w:hAnsiTheme="minorEastAsia"/>
                <w:b/>
                <w:bCs/>
                <w:kern w:val="0"/>
                <w:szCs w:val="21"/>
              </w:rPr>
              <w:t>2.</w:t>
            </w:r>
          </w:p>
          <w:p>
            <w:pPr>
              <w:autoSpaceDE w:val="0"/>
              <w:autoSpaceDN w:val="0"/>
              <w:adjustRightInd w:val="0"/>
              <w:spacing w:line="300" w:lineRule="exact"/>
              <w:jc w:val="center"/>
              <w:rPr>
                <w:rFonts w:cs="宋体" w:asciiTheme="minorEastAsia" w:hAnsiTheme="minorEastAsia"/>
                <w:b/>
                <w:bCs/>
                <w:kern w:val="0"/>
                <w:szCs w:val="21"/>
              </w:rPr>
            </w:pPr>
            <w:r>
              <w:rPr>
                <w:rFonts w:hint="eastAsia" w:cs="宋体" w:asciiTheme="minorEastAsia" w:hAnsiTheme="minorEastAsia"/>
                <w:b/>
                <w:bCs/>
                <w:kern w:val="0"/>
                <w:szCs w:val="21"/>
              </w:rPr>
              <w:t>企业经营</w:t>
            </w:r>
          </w:p>
          <w:p>
            <w:pPr>
              <w:autoSpaceDE w:val="0"/>
              <w:autoSpaceDN w:val="0"/>
              <w:adjustRightInd w:val="0"/>
              <w:spacing w:line="300" w:lineRule="exact"/>
              <w:jc w:val="center"/>
              <w:rPr>
                <w:rFonts w:cs="宋体" w:asciiTheme="minorEastAsia" w:hAnsiTheme="minorEastAsia"/>
                <w:b/>
                <w:bCs/>
                <w:kern w:val="0"/>
                <w:szCs w:val="21"/>
              </w:rPr>
            </w:pPr>
            <w:r>
              <w:rPr>
                <w:rFonts w:hint="eastAsia" w:cs="宋体" w:asciiTheme="minorEastAsia" w:hAnsiTheme="minorEastAsia"/>
                <w:b/>
                <w:bCs/>
                <w:kern w:val="0"/>
                <w:szCs w:val="21"/>
              </w:rPr>
              <w:t>信用情况</w:t>
            </w:r>
          </w:p>
          <w:p>
            <w:pPr>
              <w:autoSpaceDE w:val="0"/>
              <w:autoSpaceDN w:val="0"/>
              <w:adjustRightInd w:val="0"/>
              <w:spacing w:line="300" w:lineRule="exact"/>
              <w:jc w:val="center"/>
              <w:rPr>
                <w:rFonts w:cs="宋体" w:asciiTheme="minorEastAsia" w:hAnsiTheme="minorEastAsia"/>
                <w:b/>
                <w:bCs/>
                <w:kern w:val="0"/>
                <w:szCs w:val="21"/>
              </w:rPr>
            </w:pPr>
            <w:r>
              <w:rPr>
                <w:rFonts w:cs="宋体" w:asciiTheme="minorEastAsia" w:hAnsiTheme="minorEastAsia"/>
                <w:b/>
                <w:bCs/>
                <w:kern w:val="0"/>
                <w:szCs w:val="21"/>
              </w:rPr>
              <w:t>54分</w:t>
            </w:r>
          </w:p>
          <w:p>
            <w:pPr>
              <w:autoSpaceDE w:val="0"/>
              <w:autoSpaceDN w:val="0"/>
              <w:adjustRightInd w:val="0"/>
              <w:spacing w:line="300" w:lineRule="exact"/>
              <w:jc w:val="center"/>
              <w:rPr>
                <w:rFonts w:cs="宋体" w:asciiTheme="minorEastAsia" w:hAnsiTheme="minorEastAsia"/>
                <w:b/>
                <w:bCs/>
                <w:kern w:val="0"/>
                <w:szCs w:val="21"/>
              </w:rPr>
            </w:pPr>
          </w:p>
        </w:tc>
        <w:tc>
          <w:tcPr>
            <w:tcW w:w="1276" w:type="dxa"/>
            <w:vMerge w:val="restart"/>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2.1</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企业开发</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前期信用</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w:t>
            </w:r>
            <w:r>
              <w:rPr>
                <w:rFonts w:cs="宋体" w:asciiTheme="minorEastAsia" w:hAnsiTheme="minorEastAsia"/>
                <w:b/>
                <w:kern w:val="0"/>
                <w:szCs w:val="21"/>
              </w:rPr>
              <w:t>8分）</w:t>
            </w:r>
          </w:p>
        </w:tc>
        <w:tc>
          <w:tcPr>
            <w:tcW w:w="1256" w:type="dxa"/>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2.1.1</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土地运作信用</w:t>
            </w:r>
          </w:p>
        </w:tc>
        <w:tc>
          <w:tcPr>
            <w:tcW w:w="1011" w:type="dxa"/>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4分</w:t>
            </w:r>
          </w:p>
        </w:tc>
        <w:tc>
          <w:tcPr>
            <w:tcW w:w="4060" w:type="dxa"/>
            <w:vAlign w:val="center"/>
          </w:tcPr>
          <w:p>
            <w:pPr>
              <w:autoSpaceDE w:val="0"/>
              <w:autoSpaceDN w:val="0"/>
              <w:adjustRightInd w:val="0"/>
              <w:spacing w:line="300" w:lineRule="exact"/>
              <w:jc w:val="left"/>
              <w:rPr>
                <w:rFonts w:cs="宋体" w:asciiTheme="minorEastAsia" w:hAnsiTheme="minorEastAsia"/>
                <w:b/>
                <w:kern w:val="0"/>
                <w:szCs w:val="21"/>
              </w:rPr>
            </w:pPr>
            <w:r>
              <w:rPr>
                <w:rFonts w:hint="eastAsia" w:cs="宋体" w:asciiTheme="minorEastAsia" w:hAnsiTheme="minorEastAsia"/>
                <w:b/>
                <w:kern w:val="0"/>
                <w:szCs w:val="21"/>
              </w:rPr>
              <w:t>评价企业是否按程序获取土地，按合同履行义务。</w:t>
            </w:r>
          </w:p>
        </w:tc>
        <w:tc>
          <w:tcPr>
            <w:tcW w:w="6834" w:type="dxa"/>
            <w:vAlign w:val="center"/>
          </w:tcPr>
          <w:p>
            <w:pPr>
              <w:autoSpaceDE w:val="0"/>
              <w:autoSpaceDN w:val="0"/>
              <w:adjustRightInd w:val="0"/>
              <w:spacing w:line="300" w:lineRule="exact"/>
              <w:rPr>
                <w:rFonts w:cs="宋体" w:asciiTheme="minorEastAsia" w:hAnsiTheme="minorEastAsia"/>
                <w:b/>
                <w:kern w:val="0"/>
                <w:szCs w:val="21"/>
              </w:rPr>
            </w:pPr>
            <w:r>
              <w:rPr>
                <w:rFonts w:hint="eastAsia" w:cs="宋体" w:asciiTheme="minorEastAsia" w:hAnsiTheme="minorEastAsia"/>
                <w:b/>
                <w:kern w:val="0"/>
                <w:szCs w:val="21"/>
              </w:rPr>
              <w:t>企业近三年在获取土地过程中未严格遵守程序的，根据实际情况，每项目扣</w:t>
            </w:r>
            <w:r>
              <w:rPr>
                <w:rFonts w:cs="Times New Roman" w:asciiTheme="minorEastAsia" w:hAnsiTheme="minorEastAsia"/>
                <w:b/>
                <w:kern w:val="0"/>
                <w:szCs w:val="21"/>
              </w:rPr>
              <w:t>0.5-1</w:t>
            </w:r>
            <w:r>
              <w:rPr>
                <w:rFonts w:hint="eastAsia" w:cs="宋体" w:asciiTheme="minorEastAsia" w:hAnsiTheme="minorEastAsia"/>
                <w:b/>
                <w:kern w:val="0"/>
                <w:szCs w:val="21"/>
              </w:rPr>
              <w:t>分，累计扣满</w:t>
            </w:r>
            <w:r>
              <w:rPr>
                <w:rFonts w:cs="Times New Roman" w:asciiTheme="minorEastAsia" w:hAnsiTheme="minorEastAsia"/>
                <w:b/>
                <w:kern w:val="0"/>
                <w:szCs w:val="21"/>
              </w:rPr>
              <w:t>4</w:t>
            </w:r>
            <w:r>
              <w:rPr>
                <w:rFonts w:hint="eastAsia" w:cs="宋体" w:asciiTheme="minorEastAsia" w:hAnsiTheme="minorEastAsia"/>
                <w:b/>
                <w:kern w:val="0"/>
                <w:szCs w:val="21"/>
              </w:rPr>
              <w:t>分，但若下列</w:t>
            </w:r>
            <w:r>
              <w:rPr>
                <w:rFonts w:cs="Times New Roman" w:asciiTheme="minorEastAsia" w:hAnsiTheme="minorEastAsia"/>
                <w:b/>
                <w:kern w:val="0"/>
                <w:szCs w:val="21"/>
              </w:rPr>
              <w:t>3</w:t>
            </w:r>
            <w:r>
              <w:rPr>
                <w:rFonts w:hint="eastAsia" w:cs="宋体" w:asciiTheme="minorEastAsia" w:hAnsiTheme="minorEastAsia"/>
                <w:b/>
                <w:kern w:val="0"/>
                <w:szCs w:val="21"/>
              </w:rPr>
              <w:t>项违规事项均发生，则</w:t>
            </w:r>
            <w:r>
              <w:rPr>
                <w:rFonts w:cs="Times New Roman" w:asciiTheme="minorEastAsia" w:hAnsiTheme="minorEastAsia"/>
                <w:b/>
                <w:kern w:val="0"/>
                <w:szCs w:val="21"/>
              </w:rPr>
              <w:t>2.1</w:t>
            </w:r>
            <w:r>
              <w:rPr>
                <w:rFonts w:hint="eastAsia" w:cs="宋体" w:asciiTheme="minorEastAsia" w:hAnsiTheme="minorEastAsia"/>
                <w:b/>
                <w:kern w:val="0"/>
                <w:szCs w:val="21"/>
              </w:rPr>
              <w:t>项得</w:t>
            </w:r>
            <w:r>
              <w:rPr>
                <w:rFonts w:cs="宋体" w:asciiTheme="minorEastAsia" w:hAnsiTheme="minorEastAsia"/>
                <w:b/>
                <w:kern w:val="0"/>
                <w:szCs w:val="21"/>
              </w:rPr>
              <w:t>0分：</w:t>
            </w:r>
          </w:p>
          <w:p>
            <w:pPr>
              <w:autoSpaceDE w:val="0"/>
              <w:autoSpaceDN w:val="0"/>
              <w:adjustRightInd w:val="0"/>
              <w:spacing w:line="300" w:lineRule="exact"/>
              <w:jc w:val="left"/>
              <w:rPr>
                <w:rFonts w:cs="宋体" w:asciiTheme="minorEastAsia" w:hAnsiTheme="minorEastAsia"/>
                <w:b/>
                <w:kern w:val="0"/>
                <w:szCs w:val="21"/>
              </w:rPr>
            </w:pPr>
            <w:r>
              <w:rPr>
                <w:rFonts w:cs="宋体" w:asciiTheme="minorEastAsia" w:hAnsiTheme="minorEastAsia"/>
                <w:b/>
                <w:kern w:val="0"/>
                <w:szCs w:val="21"/>
              </w:rPr>
              <w:t>(1)在土地招拍挂过程中，未严格遵守程序；</w:t>
            </w:r>
          </w:p>
          <w:p>
            <w:pPr>
              <w:autoSpaceDE w:val="0"/>
              <w:autoSpaceDN w:val="0"/>
              <w:adjustRightInd w:val="0"/>
              <w:spacing w:line="300" w:lineRule="exact"/>
              <w:jc w:val="left"/>
              <w:rPr>
                <w:rFonts w:cs="宋体" w:asciiTheme="minorEastAsia" w:hAnsiTheme="minorEastAsia"/>
                <w:b/>
                <w:kern w:val="0"/>
                <w:szCs w:val="21"/>
              </w:rPr>
            </w:pPr>
            <w:r>
              <w:rPr>
                <w:rFonts w:cs="宋体" w:asciiTheme="minorEastAsia" w:hAnsiTheme="minorEastAsia"/>
                <w:b/>
                <w:kern w:val="0"/>
                <w:szCs w:val="21"/>
              </w:rPr>
              <w:t>(2)中标后未按合同按时足额支付土地出让金；</w:t>
            </w:r>
          </w:p>
          <w:p>
            <w:pPr>
              <w:autoSpaceDE w:val="0"/>
              <w:autoSpaceDN w:val="0"/>
              <w:adjustRightInd w:val="0"/>
              <w:spacing w:line="300" w:lineRule="exact"/>
              <w:jc w:val="left"/>
              <w:rPr>
                <w:rFonts w:cs="宋体" w:asciiTheme="minorEastAsia" w:hAnsiTheme="minorEastAsia"/>
                <w:b/>
                <w:kern w:val="0"/>
                <w:szCs w:val="21"/>
              </w:rPr>
            </w:pPr>
            <w:r>
              <w:rPr>
                <w:rFonts w:cs="宋体" w:asciiTheme="minorEastAsia" w:hAnsiTheme="minorEastAsia"/>
                <w:b/>
                <w:kern w:val="0"/>
                <w:szCs w:val="21"/>
              </w:rPr>
              <w:t>(3)未按土地出让合同按时按规划开发。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1" w:type="dxa"/>
            <w:vMerge w:val="continue"/>
          </w:tcPr>
          <w:p>
            <w:pPr>
              <w:autoSpaceDE w:val="0"/>
              <w:autoSpaceDN w:val="0"/>
              <w:adjustRightInd w:val="0"/>
              <w:spacing w:line="300" w:lineRule="exact"/>
              <w:jc w:val="center"/>
              <w:rPr>
                <w:rFonts w:cs="宋体" w:asciiTheme="minorEastAsia" w:hAnsiTheme="minorEastAsia"/>
                <w:b/>
                <w:bCs/>
                <w:kern w:val="0"/>
                <w:szCs w:val="21"/>
              </w:rPr>
            </w:pPr>
          </w:p>
        </w:tc>
        <w:tc>
          <w:tcPr>
            <w:tcW w:w="1276" w:type="dxa"/>
            <w:vMerge w:val="continue"/>
            <w:vAlign w:val="center"/>
          </w:tcPr>
          <w:p>
            <w:pPr>
              <w:autoSpaceDE w:val="0"/>
              <w:autoSpaceDN w:val="0"/>
              <w:adjustRightInd w:val="0"/>
              <w:spacing w:line="300" w:lineRule="exact"/>
              <w:jc w:val="center"/>
              <w:rPr>
                <w:rFonts w:cs="宋体" w:asciiTheme="minorEastAsia" w:hAnsiTheme="minorEastAsia"/>
                <w:b/>
                <w:kern w:val="0"/>
                <w:szCs w:val="21"/>
              </w:rPr>
            </w:pPr>
          </w:p>
        </w:tc>
        <w:tc>
          <w:tcPr>
            <w:tcW w:w="1256" w:type="dxa"/>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2.1.2</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规划许可信用</w:t>
            </w:r>
          </w:p>
        </w:tc>
        <w:tc>
          <w:tcPr>
            <w:tcW w:w="1011" w:type="dxa"/>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2分</w:t>
            </w:r>
          </w:p>
        </w:tc>
        <w:tc>
          <w:tcPr>
            <w:tcW w:w="4060" w:type="dxa"/>
            <w:vAlign w:val="center"/>
          </w:tcPr>
          <w:p>
            <w:pPr>
              <w:autoSpaceDE w:val="0"/>
              <w:autoSpaceDN w:val="0"/>
              <w:adjustRightInd w:val="0"/>
              <w:spacing w:line="300" w:lineRule="exact"/>
              <w:rPr>
                <w:rFonts w:cs="宋体" w:asciiTheme="minorEastAsia" w:hAnsiTheme="minorEastAsia"/>
                <w:b/>
                <w:kern w:val="0"/>
                <w:szCs w:val="21"/>
              </w:rPr>
            </w:pPr>
            <w:r>
              <w:rPr>
                <w:rFonts w:hint="eastAsia" w:cs="宋体" w:asciiTheme="minorEastAsia" w:hAnsiTheme="minorEastAsia"/>
                <w:b/>
                <w:kern w:val="0"/>
                <w:szCs w:val="21"/>
              </w:rPr>
              <w:t>评价企业在规划许可过程中相关证书的规范办理情况。</w:t>
            </w:r>
          </w:p>
        </w:tc>
        <w:tc>
          <w:tcPr>
            <w:tcW w:w="6834" w:type="dxa"/>
            <w:vAlign w:val="center"/>
          </w:tcPr>
          <w:p>
            <w:pPr>
              <w:autoSpaceDE w:val="0"/>
              <w:autoSpaceDN w:val="0"/>
              <w:adjustRightInd w:val="0"/>
              <w:spacing w:line="300" w:lineRule="exact"/>
              <w:jc w:val="left"/>
              <w:rPr>
                <w:rFonts w:cs="宋体" w:asciiTheme="minorEastAsia" w:hAnsiTheme="minorEastAsia"/>
                <w:b/>
                <w:kern w:val="0"/>
                <w:szCs w:val="21"/>
              </w:rPr>
            </w:pPr>
            <w:r>
              <w:rPr>
                <w:rFonts w:hint="eastAsia" w:cs="宋体" w:asciiTheme="minorEastAsia" w:hAnsiTheme="minorEastAsia"/>
                <w:b/>
                <w:kern w:val="0"/>
                <w:szCs w:val="21"/>
              </w:rPr>
              <w:t>企业近三年在办理《建设用地规划许可证》、《国有土地使用权证》、《建设工程规划许可证》、《建筑工程施工许可证》过程中，有不遵守程序的行为，每项目每项证书扣</w:t>
            </w:r>
            <w:r>
              <w:rPr>
                <w:rFonts w:cs="Times New Roman" w:asciiTheme="minorEastAsia" w:hAnsiTheme="minorEastAsia"/>
                <w:b/>
                <w:kern w:val="0"/>
                <w:szCs w:val="21"/>
              </w:rPr>
              <w:t>0.5</w:t>
            </w:r>
            <w:r>
              <w:rPr>
                <w:rFonts w:hint="eastAsia" w:cs="宋体" w:asciiTheme="minorEastAsia" w:hAnsiTheme="minorEastAsia"/>
                <w:b/>
                <w:kern w:val="0"/>
                <w:szCs w:val="21"/>
              </w:rPr>
              <w:t>分，累计发生</w:t>
            </w:r>
            <w:r>
              <w:rPr>
                <w:rFonts w:cs="Times New Roman" w:asciiTheme="minorEastAsia" w:hAnsiTheme="minorEastAsia"/>
                <w:b/>
                <w:kern w:val="0"/>
                <w:szCs w:val="21"/>
              </w:rPr>
              <w:t>3</w:t>
            </w:r>
            <w:r>
              <w:rPr>
                <w:rFonts w:hint="eastAsia" w:cs="宋体" w:asciiTheme="minorEastAsia" w:hAnsiTheme="minorEastAsia"/>
                <w:b/>
                <w:kern w:val="0"/>
                <w:szCs w:val="21"/>
              </w:rPr>
              <w:t>项，则</w:t>
            </w:r>
            <w:r>
              <w:rPr>
                <w:rFonts w:cs="Times New Roman" w:asciiTheme="minorEastAsia" w:hAnsiTheme="minorEastAsia"/>
                <w:b/>
                <w:kern w:val="0"/>
                <w:szCs w:val="21"/>
              </w:rPr>
              <w:t>2.1</w:t>
            </w:r>
            <w:r>
              <w:rPr>
                <w:rFonts w:hint="eastAsia" w:cs="宋体" w:asciiTheme="minorEastAsia" w:hAnsiTheme="minorEastAsia"/>
                <w:b/>
                <w:kern w:val="0"/>
                <w:szCs w:val="21"/>
              </w:rPr>
              <w:t>项得</w:t>
            </w:r>
            <w:r>
              <w:rPr>
                <w:rFonts w:cs="宋体" w:asciiTheme="minorEastAsia" w:hAnsiTheme="minorEastAsia"/>
                <w:b/>
                <w:kern w:val="0"/>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1" w:type="dxa"/>
            <w:vMerge w:val="continue"/>
          </w:tcPr>
          <w:p>
            <w:pPr>
              <w:autoSpaceDE w:val="0"/>
              <w:autoSpaceDN w:val="0"/>
              <w:adjustRightInd w:val="0"/>
              <w:spacing w:line="300" w:lineRule="exact"/>
              <w:jc w:val="center"/>
              <w:rPr>
                <w:rFonts w:cs="宋体" w:asciiTheme="minorEastAsia" w:hAnsiTheme="minorEastAsia"/>
                <w:b/>
                <w:bCs/>
                <w:kern w:val="0"/>
                <w:szCs w:val="21"/>
              </w:rPr>
            </w:pPr>
          </w:p>
        </w:tc>
        <w:tc>
          <w:tcPr>
            <w:tcW w:w="1276" w:type="dxa"/>
            <w:vMerge w:val="continue"/>
            <w:vAlign w:val="center"/>
          </w:tcPr>
          <w:p>
            <w:pPr>
              <w:autoSpaceDE w:val="0"/>
              <w:autoSpaceDN w:val="0"/>
              <w:adjustRightInd w:val="0"/>
              <w:spacing w:line="300" w:lineRule="exact"/>
              <w:jc w:val="center"/>
              <w:rPr>
                <w:rFonts w:cs="宋体" w:asciiTheme="minorEastAsia" w:hAnsiTheme="minorEastAsia"/>
                <w:b/>
                <w:kern w:val="0"/>
                <w:szCs w:val="21"/>
              </w:rPr>
            </w:pPr>
          </w:p>
        </w:tc>
        <w:tc>
          <w:tcPr>
            <w:tcW w:w="1256" w:type="dxa"/>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2.1.3</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工程招标信用</w:t>
            </w:r>
          </w:p>
        </w:tc>
        <w:tc>
          <w:tcPr>
            <w:tcW w:w="1011" w:type="dxa"/>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2分</w:t>
            </w:r>
          </w:p>
        </w:tc>
        <w:tc>
          <w:tcPr>
            <w:tcW w:w="4060" w:type="dxa"/>
            <w:vAlign w:val="center"/>
          </w:tcPr>
          <w:p>
            <w:pPr>
              <w:autoSpaceDE w:val="0"/>
              <w:autoSpaceDN w:val="0"/>
              <w:adjustRightInd w:val="0"/>
              <w:spacing w:line="300" w:lineRule="exact"/>
              <w:jc w:val="left"/>
              <w:rPr>
                <w:rFonts w:cs="宋体" w:asciiTheme="minorEastAsia" w:hAnsiTheme="minorEastAsia"/>
                <w:b/>
                <w:kern w:val="0"/>
                <w:szCs w:val="21"/>
              </w:rPr>
            </w:pPr>
            <w:r>
              <w:rPr>
                <w:rFonts w:hint="eastAsia" w:cs="宋体" w:asciiTheme="minorEastAsia" w:hAnsiTheme="minorEastAsia"/>
                <w:b/>
                <w:kern w:val="0"/>
                <w:szCs w:val="21"/>
              </w:rPr>
              <w:t>评价企业选取供应商（包括材料设备供应商和承包商）时招标信用情况。</w:t>
            </w:r>
          </w:p>
        </w:tc>
        <w:tc>
          <w:tcPr>
            <w:tcW w:w="6834" w:type="dxa"/>
            <w:vAlign w:val="center"/>
          </w:tcPr>
          <w:p>
            <w:pPr>
              <w:autoSpaceDE w:val="0"/>
              <w:autoSpaceDN w:val="0"/>
              <w:adjustRightInd w:val="0"/>
              <w:spacing w:line="300" w:lineRule="exact"/>
              <w:rPr>
                <w:rFonts w:cs="宋体" w:asciiTheme="minorEastAsia" w:hAnsiTheme="minorEastAsia"/>
                <w:b/>
                <w:kern w:val="0"/>
                <w:szCs w:val="21"/>
              </w:rPr>
            </w:pPr>
            <w:r>
              <w:rPr>
                <w:rFonts w:hint="eastAsia" w:cs="宋体" w:asciiTheme="minorEastAsia" w:hAnsiTheme="minorEastAsia"/>
                <w:b/>
                <w:kern w:val="0"/>
                <w:szCs w:val="21"/>
              </w:rPr>
              <w:t>企业近三年工程招标过程中发生以下情况</w:t>
            </w:r>
            <w:r>
              <w:rPr>
                <w:rFonts w:cs="宋体" w:asciiTheme="minorEastAsia" w:hAnsiTheme="minorEastAsia"/>
                <w:b/>
                <w:kern w:val="0"/>
                <w:szCs w:val="21"/>
              </w:rPr>
              <w:t>,根据实际情况每项目每项扣</w:t>
            </w:r>
            <w:r>
              <w:rPr>
                <w:rFonts w:cs="Times New Roman" w:asciiTheme="minorEastAsia" w:hAnsiTheme="minorEastAsia"/>
                <w:b/>
                <w:kern w:val="0"/>
                <w:szCs w:val="21"/>
              </w:rPr>
              <w:t>0.5-1</w:t>
            </w:r>
            <w:r>
              <w:rPr>
                <w:rFonts w:hint="eastAsia" w:cs="宋体" w:asciiTheme="minorEastAsia" w:hAnsiTheme="minorEastAsia"/>
                <w:b/>
                <w:kern w:val="0"/>
                <w:szCs w:val="21"/>
              </w:rPr>
              <w:t>分</w:t>
            </w:r>
            <w:r>
              <w:rPr>
                <w:rFonts w:cs="宋体" w:asciiTheme="minorEastAsia" w:hAnsiTheme="minorEastAsia"/>
                <w:b/>
                <w:kern w:val="0"/>
                <w:szCs w:val="21"/>
              </w:rPr>
              <w:t>,累计发生</w:t>
            </w:r>
            <w:r>
              <w:rPr>
                <w:rFonts w:cs="Times New Roman" w:asciiTheme="minorEastAsia" w:hAnsiTheme="minorEastAsia"/>
                <w:b/>
                <w:kern w:val="0"/>
                <w:szCs w:val="21"/>
              </w:rPr>
              <w:t>3</w:t>
            </w:r>
            <w:r>
              <w:rPr>
                <w:rFonts w:hint="eastAsia" w:cs="宋体" w:asciiTheme="minorEastAsia" w:hAnsiTheme="minorEastAsia"/>
                <w:b/>
                <w:kern w:val="0"/>
                <w:szCs w:val="21"/>
              </w:rPr>
              <w:t>项，则</w:t>
            </w:r>
            <w:r>
              <w:rPr>
                <w:rFonts w:cs="Times New Roman" w:asciiTheme="minorEastAsia" w:hAnsiTheme="minorEastAsia"/>
                <w:b/>
                <w:kern w:val="0"/>
                <w:szCs w:val="21"/>
              </w:rPr>
              <w:t>2.1</w:t>
            </w:r>
            <w:r>
              <w:rPr>
                <w:rFonts w:hint="eastAsia" w:cs="宋体" w:asciiTheme="minorEastAsia" w:hAnsiTheme="minorEastAsia"/>
                <w:b/>
                <w:kern w:val="0"/>
                <w:szCs w:val="21"/>
              </w:rPr>
              <w:t>项得</w:t>
            </w:r>
            <w:r>
              <w:rPr>
                <w:rFonts w:cs="宋体" w:asciiTheme="minorEastAsia" w:hAnsiTheme="minorEastAsia"/>
                <w:b/>
                <w:kern w:val="0"/>
                <w:szCs w:val="21"/>
              </w:rPr>
              <w:t>0分:</w:t>
            </w:r>
          </w:p>
          <w:p>
            <w:pPr>
              <w:autoSpaceDE w:val="0"/>
              <w:autoSpaceDN w:val="0"/>
              <w:adjustRightInd w:val="0"/>
              <w:spacing w:line="300" w:lineRule="exact"/>
              <w:rPr>
                <w:rFonts w:cs="宋体" w:asciiTheme="minorEastAsia" w:hAnsiTheme="minorEastAsia"/>
                <w:b/>
                <w:kern w:val="0"/>
                <w:szCs w:val="21"/>
              </w:rPr>
            </w:pPr>
            <w:r>
              <w:rPr>
                <w:rFonts w:cs="宋体" w:asciiTheme="minorEastAsia" w:hAnsiTheme="minorEastAsia"/>
                <w:b/>
                <w:kern w:val="0"/>
                <w:szCs w:val="21"/>
              </w:rPr>
              <w:t>(1)未按规定进行招标；</w:t>
            </w:r>
          </w:p>
          <w:p>
            <w:pPr>
              <w:autoSpaceDE w:val="0"/>
              <w:autoSpaceDN w:val="0"/>
              <w:adjustRightInd w:val="0"/>
              <w:spacing w:line="300" w:lineRule="exact"/>
              <w:rPr>
                <w:rFonts w:cs="宋体" w:asciiTheme="minorEastAsia" w:hAnsiTheme="minorEastAsia"/>
                <w:b/>
                <w:kern w:val="0"/>
                <w:szCs w:val="21"/>
              </w:rPr>
            </w:pPr>
            <w:r>
              <w:rPr>
                <w:rFonts w:cs="宋体" w:asciiTheme="minorEastAsia" w:hAnsiTheme="minorEastAsia"/>
                <w:b/>
                <w:kern w:val="0"/>
                <w:szCs w:val="21"/>
              </w:rPr>
              <w:t>(2)迫使总包不合理接受分包；</w:t>
            </w:r>
          </w:p>
          <w:p>
            <w:pPr>
              <w:autoSpaceDE w:val="0"/>
              <w:autoSpaceDN w:val="0"/>
              <w:adjustRightInd w:val="0"/>
              <w:spacing w:line="300" w:lineRule="exact"/>
              <w:rPr>
                <w:rFonts w:cs="宋体" w:asciiTheme="minorEastAsia" w:hAnsiTheme="minorEastAsia"/>
                <w:b/>
                <w:kern w:val="0"/>
                <w:szCs w:val="21"/>
              </w:rPr>
            </w:pPr>
            <w:r>
              <w:rPr>
                <w:rFonts w:cs="宋体" w:asciiTheme="minorEastAsia" w:hAnsiTheme="minorEastAsia"/>
                <w:b/>
                <w:kern w:val="0"/>
                <w:szCs w:val="21"/>
              </w:rPr>
              <w:t>(3)肢解项目进行招标；</w:t>
            </w:r>
          </w:p>
          <w:p>
            <w:pPr>
              <w:autoSpaceDE w:val="0"/>
              <w:autoSpaceDN w:val="0"/>
              <w:adjustRightInd w:val="0"/>
              <w:spacing w:line="300" w:lineRule="exact"/>
              <w:rPr>
                <w:rFonts w:cs="宋体" w:asciiTheme="minorEastAsia" w:hAnsiTheme="minorEastAsia"/>
                <w:b/>
                <w:kern w:val="0"/>
                <w:szCs w:val="21"/>
              </w:rPr>
            </w:pPr>
            <w:r>
              <w:rPr>
                <w:rFonts w:cs="宋体" w:asciiTheme="minorEastAsia" w:hAnsiTheme="minorEastAsia"/>
                <w:b/>
                <w:kern w:val="0"/>
                <w:szCs w:val="21"/>
              </w:rPr>
              <w:t>(4)企业与供应商进行标前谈判，或中标后就实质性条款进行谈判并更改。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1" w:type="dxa"/>
            <w:vMerge w:val="continue"/>
          </w:tcPr>
          <w:p>
            <w:pPr>
              <w:autoSpaceDE w:val="0"/>
              <w:autoSpaceDN w:val="0"/>
              <w:adjustRightInd w:val="0"/>
              <w:spacing w:line="300" w:lineRule="exact"/>
              <w:jc w:val="center"/>
              <w:rPr>
                <w:rFonts w:cs="宋体" w:asciiTheme="minorEastAsia" w:hAnsiTheme="minorEastAsia"/>
                <w:b/>
                <w:bCs/>
                <w:kern w:val="0"/>
                <w:szCs w:val="21"/>
              </w:rPr>
            </w:pPr>
          </w:p>
        </w:tc>
        <w:tc>
          <w:tcPr>
            <w:tcW w:w="1276" w:type="dxa"/>
            <w:vMerge w:val="restart"/>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2.2</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企业建设</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阶段信用</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w:t>
            </w:r>
            <w:r>
              <w:rPr>
                <w:rFonts w:cs="宋体" w:asciiTheme="minorEastAsia" w:hAnsiTheme="minorEastAsia"/>
                <w:b/>
                <w:kern w:val="0"/>
                <w:szCs w:val="21"/>
              </w:rPr>
              <w:t>16分）</w:t>
            </w:r>
          </w:p>
          <w:p>
            <w:pPr>
              <w:autoSpaceDE w:val="0"/>
              <w:autoSpaceDN w:val="0"/>
              <w:adjustRightInd w:val="0"/>
              <w:spacing w:line="300" w:lineRule="exact"/>
              <w:jc w:val="center"/>
              <w:rPr>
                <w:rFonts w:cs="宋体" w:asciiTheme="minorEastAsia" w:hAnsiTheme="minorEastAsia"/>
                <w:b/>
                <w:kern w:val="0"/>
                <w:szCs w:val="21"/>
              </w:rPr>
            </w:pPr>
          </w:p>
        </w:tc>
        <w:tc>
          <w:tcPr>
            <w:tcW w:w="1256" w:type="dxa"/>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2.2.1</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合同信用</w:t>
            </w:r>
          </w:p>
        </w:tc>
        <w:tc>
          <w:tcPr>
            <w:tcW w:w="1011" w:type="dxa"/>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3分</w:t>
            </w:r>
          </w:p>
        </w:tc>
        <w:tc>
          <w:tcPr>
            <w:tcW w:w="4060" w:type="dxa"/>
            <w:vAlign w:val="center"/>
          </w:tcPr>
          <w:p>
            <w:pPr>
              <w:autoSpaceDE w:val="0"/>
              <w:autoSpaceDN w:val="0"/>
              <w:adjustRightInd w:val="0"/>
              <w:spacing w:line="300" w:lineRule="exact"/>
              <w:jc w:val="left"/>
              <w:rPr>
                <w:rFonts w:cs="宋体" w:asciiTheme="minorEastAsia" w:hAnsiTheme="minorEastAsia"/>
                <w:b/>
                <w:kern w:val="0"/>
                <w:szCs w:val="21"/>
              </w:rPr>
            </w:pPr>
            <w:r>
              <w:rPr>
                <w:rFonts w:hint="eastAsia" w:cs="宋体" w:asciiTheme="minorEastAsia" w:hAnsiTheme="minorEastAsia"/>
                <w:b/>
                <w:kern w:val="0"/>
                <w:szCs w:val="21"/>
              </w:rPr>
              <w:t>评价企业在合同执行过程中是否严格履约。</w:t>
            </w:r>
          </w:p>
        </w:tc>
        <w:tc>
          <w:tcPr>
            <w:tcW w:w="6834" w:type="dxa"/>
            <w:vAlign w:val="center"/>
          </w:tcPr>
          <w:p>
            <w:pPr>
              <w:autoSpaceDE w:val="0"/>
              <w:autoSpaceDN w:val="0"/>
              <w:adjustRightInd w:val="0"/>
              <w:spacing w:line="300" w:lineRule="exact"/>
              <w:jc w:val="left"/>
              <w:rPr>
                <w:rFonts w:cs="宋体" w:asciiTheme="minorEastAsia" w:hAnsiTheme="minorEastAsia"/>
                <w:b/>
                <w:kern w:val="0"/>
                <w:szCs w:val="21"/>
              </w:rPr>
            </w:pPr>
            <w:r>
              <w:rPr>
                <w:rFonts w:hint="eastAsia" w:cs="宋体" w:asciiTheme="minorEastAsia" w:hAnsiTheme="minorEastAsia"/>
                <w:b/>
                <w:kern w:val="0"/>
                <w:szCs w:val="21"/>
              </w:rPr>
              <w:t>企业拖欠供应商、施工承包方合同款、设计费，每发生一项扣</w:t>
            </w:r>
            <w:r>
              <w:rPr>
                <w:rFonts w:cs="宋体" w:asciiTheme="minorEastAsia" w:hAnsiTheme="minorEastAsia"/>
                <w:b/>
                <w:kern w:val="0"/>
                <w:szCs w:val="21"/>
              </w:rPr>
              <w:t>0.5分，累计扣满3分；</w:t>
            </w:r>
          </w:p>
          <w:p>
            <w:pPr>
              <w:autoSpaceDE w:val="0"/>
              <w:autoSpaceDN w:val="0"/>
              <w:adjustRightInd w:val="0"/>
              <w:spacing w:line="300" w:lineRule="exact"/>
              <w:rPr>
                <w:rFonts w:cs="宋体" w:asciiTheme="minorEastAsia" w:hAnsiTheme="minorEastAsia"/>
                <w:b/>
                <w:kern w:val="0"/>
                <w:szCs w:val="21"/>
              </w:rPr>
            </w:pPr>
            <w:r>
              <w:rPr>
                <w:rFonts w:hint="eastAsia" w:cs="宋体" w:asciiTheme="minorEastAsia" w:hAnsiTheme="minorEastAsia"/>
                <w:b/>
                <w:kern w:val="0"/>
                <w:szCs w:val="21"/>
              </w:rPr>
              <w:t>企业近三年拖欠巨额合同款，或与合作方有重大纠纷的，且企业承担主要责任，</w:t>
            </w:r>
            <w:r>
              <w:rPr>
                <w:rFonts w:cs="宋体" w:asciiTheme="minorEastAsia" w:hAnsiTheme="minorEastAsia"/>
                <w:b/>
                <w:kern w:val="0"/>
                <w:szCs w:val="21"/>
              </w:rPr>
              <w:t>2.2项不得分。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1" w:type="dxa"/>
            <w:vMerge w:val="continue"/>
          </w:tcPr>
          <w:p>
            <w:pPr>
              <w:autoSpaceDE w:val="0"/>
              <w:autoSpaceDN w:val="0"/>
              <w:adjustRightInd w:val="0"/>
              <w:spacing w:line="300" w:lineRule="exact"/>
              <w:jc w:val="center"/>
              <w:rPr>
                <w:rFonts w:cs="宋体" w:asciiTheme="minorEastAsia" w:hAnsiTheme="minorEastAsia"/>
                <w:b/>
                <w:bCs/>
                <w:kern w:val="0"/>
                <w:szCs w:val="21"/>
              </w:rPr>
            </w:pPr>
          </w:p>
        </w:tc>
        <w:tc>
          <w:tcPr>
            <w:tcW w:w="1276" w:type="dxa"/>
            <w:vMerge w:val="continue"/>
            <w:vAlign w:val="center"/>
          </w:tcPr>
          <w:p>
            <w:pPr>
              <w:autoSpaceDE w:val="0"/>
              <w:autoSpaceDN w:val="0"/>
              <w:adjustRightInd w:val="0"/>
              <w:spacing w:line="300" w:lineRule="exact"/>
              <w:jc w:val="center"/>
              <w:rPr>
                <w:rFonts w:cs="宋体" w:asciiTheme="minorEastAsia" w:hAnsiTheme="minorEastAsia"/>
                <w:b/>
                <w:kern w:val="0"/>
                <w:szCs w:val="21"/>
              </w:rPr>
            </w:pPr>
          </w:p>
        </w:tc>
        <w:tc>
          <w:tcPr>
            <w:tcW w:w="1256" w:type="dxa"/>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2.2.2</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质量信用</w:t>
            </w:r>
          </w:p>
        </w:tc>
        <w:tc>
          <w:tcPr>
            <w:tcW w:w="1011" w:type="dxa"/>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5分</w:t>
            </w:r>
          </w:p>
        </w:tc>
        <w:tc>
          <w:tcPr>
            <w:tcW w:w="4060" w:type="dxa"/>
            <w:vAlign w:val="center"/>
          </w:tcPr>
          <w:p>
            <w:pPr>
              <w:autoSpaceDE w:val="0"/>
              <w:autoSpaceDN w:val="0"/>
              <w:adjustRightInd w:val="0"/>
              <w:spacing w:line="300" w:lineRule="exact"/>
              <w:jc w:val="left"/>
              <w:rPr>
                <w:rFonts w:cs="宋体" w:asciiTheme="minorEastAsia" w:hAnsiTheme="minorEastAsia"/>
                <w:b/>
                <w:kern w:val="0"/>
                <w:szCs w:val="21"/>
              </w:rPr>
            </w:pPr>
            <w:r>
              <w:rPr>
                <w:rFonts w:hint="eastAsia" w:cs="宋体" w:asciiTheme="minorEastAsia" w:hAnsiTheme="minorEastAsia"/>
                <w:b/>
                <w:kern w:val="0"/>
                <w:szCs w:val="21"/>
              </w:rPr>
              <w:t>评价企业保障质量信用的能力。</w:t>
            </w:r>
          </w:p>
        </w:tc>
        <w:tc>
          <w:tcPr>
            <w:tcW w:w="6834" w:type="dxa"/>
            <w:vAlign w:val="center"/>
          </w:tcPr>
          <w:p>
            <w:pPr>
              <w:autoSpaceDE w:val="0"/>
              <w:autoSpaceDN w:val="0"/>
              <w:adjustRightInd w:val="0"/>
              <w:spacing w:line="300" w:lineRule="exact"/>
              <w:jc w:val="left"/>
              <w:rPr>
                <w:rFonts w:cs="宋体" w:asciiTheme="minorEastAsia" w:hAnsiTheme="minorEastAsia"/>
                <w:b/>
                <w:kern w:val="0"/>
                <w:szCs w:val="21"/>
              </w:rPr>
            </w:pPr>
            <w:r>
              <w:rPr>
                <w:rFonts w:hint="eastAsia" w:cs="宋体" w:asciiTheme="minorEastAsia" w:hAnsiTheme="minorEastAsia"/>
                <w:b/>
                <w:kern w:val="0"/>
                <w:szCs w:val="21"/>
              </w:rPr>
              <w:t>企业近三年工程合格率低于</w:t>
            </w:r>
            <w:r>
              <w:rPr>
                <w:rFonts w:cs="Times New Roman" w:asciiTheme="minorEastAsia" w:hAnsiTheme="minorEastAsia"/>
                <w:b/>
                <w:kern w:val="0"/>
                <w:szCs w:val="21"/>
              </w:rPr>
              <w:t>100%</w:t>
            </w:r>
            <w:r>
              <w:rPr>
                <w:rFonts w:hint="eastAsia" w:cs="宋体" w:asciiTheme="minorEastAsia" w:hAnsiTheme="minorEastAsia"/>
                <w:b/>
                <w:kern w:val="0"/>
                <w:szCs w:val="21"/>
              </w:rPr>
              <w:t>的，</w:t>
            </w:r>
            <w:r>
              <w:rPr>
                <w:rFonts w:cs="Times New Roman" w:asciiTheme="minorEastAsia" w:hAnsiTheme="minorEastAsia"/>
                <w:b/>
                <w:kern w:val="0"/>
                <w:szCs w:val="21"/>
              </w:rPr>
              <w:t>2.2</w:t>
            </w:r>
            <w:r>
              <w:rPr>
                <w:rFonts w:hint="eastAsia" w:cs="宋体" w:asciiTheme="minorEastAsia" w:hAnsiTheme="minorEastAsia"/>
                <w:b/>
                <w:kern w:val="0"/>
                <w:szCs w:val="21"/>
              </w:rPr>
              <w:t>项得</w:t>
            </w:r>
            <w:r>
              <w:rPr>
                <w:rFonts w:cs="宋体" w:asciiTheme="minorEastAsia" w:hAnsiTheme="minorEastAsia"/>
                <w:b/>
                <w:kern w:val="0"/>
                <w:szCs w:val="21"/>
              </w:rPr>
              <w:t>0分；</w:t>
            </w:r>
          </w:p>
          <w:p>
            <w:pPr>
              <w:autoSpaceDE w:val="0"/>
              <w:autoSpaceDN w:val="0"/>
              <w:adjustRightInd w:val="0"/>
              <w:spacing w:line="300" w:lineRule="exact"/>
              <w:jc w:val="left"/>
              <w:rPr>
                <w:rFonts w:cs="宋体" w:asciiTheme="minorEastAsia" w:hAnsiTheme="minorEastAsia"/>
                <w:b/>
                <w:kern w:val="0"/>
                <w:szCs w:val="21"/>
              </w:rPr>
            </w:pPr>
            <w:r>
              <w:rPr>
                <w:rFonts w:hint="eastAsia" w:cs="宋体" w:asciiTheme="minorEastAsia" w:hAnsiTheme="minorEastAsia"/>
                <w:b/>
                <w:kern w:val="0"/>
                <w:szCs w:val="21"/>
              </w:rPr>
              <w:t>企业近三年项目原材料和配套设备未进行规定检验的，每项目根据实际情况扣</w:t>
            </w:r>
            <w:r>
              <w:rPr>
                <w:rFonts w:cs="宋体" w:asciiTheme="minorEastAsia" w:hAnsiTheme="minorEastAsia"/>
                <w:b/>
                <w:kern w:val="0"/>
                <w:szCs w:val="21"/>
              </w:rPr>
              <w:t>0.5-1分；</w:t>
            </w:r>
          </w:p>
          <w:p>
            <w:pPr>
              <w:autoSpaceDE w:val="0"/>
              <w:autoSpaceDN w:val="0"/>
              <w:adjustRightInd w:val="0"/>
              <w:spacing w:line="300" w:lineRule="exact"/>
              <w:rPr>
                <w:rFonts w:cs="宋体" w:asciiTheme="minorEastAsia" w:hAnsiTheme="minorEastAsia"/>
                <w:b/>
                <w:kern w:val="0"/>
                <w:szCs w:val="21"/>
              </w:rPr>
            </w:pPr>
            <w:r>
              <w:rPr>
                <w:rFonts w:hint="eastAsia" w:cs="宋体" w:asciiTheme="minorEastAsia" w:hAnsiTheme="minorEastAsia"/>
                <w:b/>
                <w:kern w:val="0"/>
                <w:szCs w:val="21"/>
              </w:rPr>
              <w:t>企业近三年施工过程隐蔽工程合格证不齐全，每项目每缺少</w:t>
            </w:r>
            <w:r>
              <w:rPr>
                <w:rFonts w:cs="宋体" w:asciiTheme="minorEastAsia" w:hAnsiTheme="minorEastAsia"/>
                <w:b/>
                <w:kern w:val="0"/>
                <w:szCs w:val="21"/>
              </w:rPr>
              <w:t>1个扣0.5分。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1" w:type="dxa"/>
            <w:vMerge w:val="continue"/>
            <w:vAlign w:val="center"/>
          </w:tcPr>
          <w:p>
            <w:pPr>
              <w:autoSpaceDE w:val="0"/>
              <w:autoSpaceDN w:val="0"/>
              <w:adjustRightInd w:val="0"/>
              <w:spacing w:line="300" w:lineRule="exact"/>
              <w:jc w:val="center"/>
              <w:rPr>
                <w:rFonts w:cs="宋体" w:asciiTheme="minorEastAsia" w:hAnsiTheme="minorEastAsia"/>
                <w:b/>
                <w:bCs/>
                <w:kern w:val="0"/>
                <w:szCs w:val="21"/>
              </w:rPr>
            </w:pPr>
          </w:p>
        </w:tc>
        <w:tc>
          <w:tcPr>
            <w:tcW w:w="1276" w:type="dxa"/>
            <w:vMerge w:val="continue"/>
            <w:vAlign w:val="center"/>
          </w:tcPr>
          <w:p>
            <w:pPr>
              <w:autoSpaceDE w:val="0"/>
              <w:autoSpaceDN w:val="0"/>
              <w:adjustRightInd w:val="0"/>
              <w:spacing w:line="300" w:lineRule="exact"/>
              <w:jc w:val="center"/>
              <w:rPr>
                <w:rFonts w:cs="宋体" w:asciiTheme="minorEastAsia" w:hAnsiTheme="minorEastAsia"/>
                <w:b/>
                <w:kern w:val="0"/>
                <w:szCs w:val="21"/>
              </w:rPr>
            </w:pPr>
          </w:p>
        </w:tc>
        <w:tc>
          <w:tcPr>
            <w:tcW w:w="1256" w:type="dxa"/>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2.2.3</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进度信用</w:t>
            </w:r>
          </w:p>
        </w:tc>
        <w:tc>
          <w:tcPr>
            <w:tcW w:w="1011" w:type="dxa"/>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3分</w:t>
            </w:r>
          </w:p>
        </w:tc>
        <w:tc>
          <w:tcPr>
            <w:tcW w:w="4060" w:type="dxa"/>
            <w:vAlign w:val="center"/>
          </w:tcPr>
          <w:p>
            <w:pPr>
              <w:autoSpaceDE w:val="0"/>
              <w:autoSpaceDN w:val="0"/>
              <w:adjustRightInd w:val="0"/>
              <w:spacing w:line="300" w:lineRule="exact"/>
              <w:jc w:val="left"/>
              <w:rPr>
                <w:rFonts w:cs="宋体" w:asciiTheme="minorEastAsia" w:hAnsiTheme="minorEastAsia"/>
                <w:b/>
                <w:kern w:val="0"/>
                <w:szCs w:val="21"/>
              </w:rPr>
            </w:pPr>
            <w:r>
              <w:rPr>
                <w:rFonts w:hint="eastAsia" w:cs="宋体" w:asciiTheme="minorEastAsia" w:hAnsiTheme="minorEastAsia"/>
                <w:b/>
                <w:kern w:val="0"/>
                <w:szCs w:val="21"/>
              </w:rPr>
              <w:t>评价企业在进度控制方面的信用。</w:t>
            </w:r>
          </w:p>
        </w:tc>
        <w:tc>
          <w:tcPr>
            <w:tcW w:w="6834" w:type="dxa"/>
            <w:vAlign w:val="center"/>
          </w:tcPr>
          <w:p>
            <w:pPr>
              <w:autoSpaceDE w:val="0"/>
              <w:autoSpaceDN w:val="0"/>
              <w:adjustRightInd w:val="0"/>
              <w:spacing w:line="300" w:lineRule="exact"/>
              <w:rPr>
                <w:rFonts w:cs="宋体" w:asciiTheme="minorEastAsia" w:hAnsiTheme="minorEastAsia"/>
                <w:b/>
                <w:kern w:val="0"/>
                <w:szCs w:val="21"/>
              </w:rPr>
            </w:pPr>
            <w:r>
              <w:rPr>
                <w:rFonts w:hint="eastAsia" w:cs="宋体" w:asciiTheme="minorEastAsia" w:hAnsiTheme="minorEastAsia"/>
                <w:b/>
                <w:kern w:val="0"/>
                <w:szCs w:val="21"/>
              </w:rPr>
              <w:t>企业近三年存在拖延工期或不合理赶工期的项目，每项扣</w:t>
            </w:r>
            <w:r>
              <w:rPr>
                <w:rFonts w:cs="Times New Roman" w:asciiTheme="minorEastAsia" w:hAnsiTheme="minorEastAsia"/>
                <w:b/>
                <w:kern w:val="0"/>
                <w:szCs w:val="21"/>
              </w:rPr>
              <w:t>0.5-1</w:t>
            </w:r>
            <w:r>
              <w:rPr>
                <w:rFonts w:hint="eastAsia" w:cs="宋体" w:asciiTheme="minorEastAsia" w:hAnsiTheme="minorEastAsia"/>
                <w:b/>
                <w:kern w:val="0"/>
                <w:szCs w:val="21"/>
              </w:rPr>
              <w:t>分。因政府原因造成的拖延工期（政府相关部门如规划、建设主管部门应提供证明材料）除外。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1" w:type="dxa"/>
            <w:vMerge w:val="continue"/>
            <w:vAlign w:val="center"/>
          </w:tcPr>
          <w:p>
            <w:pPr>
              <w:autoSpaceDE w:val="0"/>
              <w:autoSpaceDN w:val="0"/>
              <w:adjustRightInd w:val="0"/>
              <w:spacing w:line="300" w:lineRule="exact"/>
              <w:jc w:val="center"/>
              <w:rPr>
                <w:rFonts w:cs="宋体" w:asciiTheme="minorEastAsia" w:hAnsiTheme="minorEastAsia"/>
                <w:b/>
                <w:bCs/>
                <w:kern w:val="0"/>
                <w:szCs w:val="21"/>
              </w:rPr>
            </w:pPr>
          </w:p>
        </w:tc>
        <w:tc>
          <w:tcPr>
            <w:tcW w:w="1276" w:type="dxa"/>
            <w:vMerge w:val="continue"/>
            <w:vAlign w:val="center"/>
          </w:tcPr>
          <w:p>
            <w:pPr>
              <w:autoSpaceDE w:val="0"/>
              <w:autoSpaceDN w:val="0"/>
              <w:adjustRightInd w:val="0"/>
              <w:spacing w:line="300" w:lineRule="exact"/>
              <w:jc w:val="center"/>
              <w:rPr>
                <w:rFonts w:cs="宋体" w:asciiTheme="minorEastAsia" w:hAnsiTheme="minorEastAsia"/>
                <w:b/>
                <w:kern w:val="0"/>
                <w:szCs w:val="21"/>
              </w:rPr>
            </w:pPr>
          </w:p>
        </w:tc>
        <w:tc>
          <w:tcPr>
            <w:tcW w:w="1256" w:type="dxa"/>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2.2.4</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安全信用</w:t>
            </w:r>
          </w:p>
        </w:tc>
        <w:tc>
          <w:tcPr>
            <w:tcW w:w="1011" w:type="dxa"/>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3分</w:t>
            </w:r>
          </w:p>
        </w:tc>
        <w:tc>
          <w:tcPr>
            <w:tcW w:w="4060" w:type="dxa"/>
            <w:vAlign w:val="center"/>
          </w:tcPr>
          <w:p>
            <w:pPr>
              <w:autoSpaceDE w:val="0"/>
              <w:autoSpaceDN w:val="0"/>
              <w:adjustRightInd w:val="0"/>
              <w:spacing w:line="300" w:lineRule="exact"/>
              <w:rPr>
                <w:rFonts w:cs="宋体" w:asciiTheme="minorEastAsia" w:hAnsiTheme="minorEastAsia"/>
                <w:b/>
                <w:kern w:val="0"/>
                <w:szCs w:val="21"/>
              </w:rPr>
            </w:pPr>
            <w:r>
              <w:rPr>
                <w:rFonts w:hint="eastAsia" w:cs="宋体" w:asciiTheme="minorEastAsia" w:hAnsiTheme="minorEastAsia"/>
                <w:b/>
                <w:kern w:val="0"/>
                <w:szCs w:val="21"/>
              </w:rPr>
              <w:t>评价企业防范安全事故的措施及管理结果两个层面，事故类别按国务院文件。</w:t>
            </w:r>
          </w:p>
        </w:tc>
        <w:tc>
          <w:tcPr>
            <w:tcW w:w="6834" w:type="dxa"/>
            <w:vAlign w:val="center"/>
          </w:tcPr>
          <w:p>
            <w:pPr>
              <w:autoSpaceDE w:val="0"/>
              <w:autoSpaceDN w:val="0"/>
              <w:adjustRightInd w:val="0"/>
              <w:spacing w:line="300" w:lineRule="exact"/>
              <w:jc w:val="left"/>
              <w:rPr>
                <w:rFonts w:cs="宋体" w:asciiTheme="minorEastAsia" w:hAnsiTheme="minorEastAsia"/>
                <w:b/>
                <w:bCs/>
                <w:kern w:val="0"/>
                <w:szCs w:val="21"/>
              </w:rPr>
            </w:pPr>
            <w:r>
              <w:rPr>
                <w:rFonts w:hint="eastAsia" w:cs="宋体" w:asciiTheme="minorEastAsia" w:hAnsiTheme="minorEastAsia"/>
                <w:b/>
                <w:kern w:val="0"/>
                <w:szCs w:val="21"/>
              </w:rPr>
              <w:t>企业近三年发生重大安全事故的</w:t>
            </w:r>
            <w:r>
              <w:rPr>
                <w:rFonts w:cs="Times New Roman" w:asciiTheme="minorEastAsia" w:hAnsiTheme="minorEastAsia"/>
                <w:b/>
                <w:kern w:val="0"/>
                <w:szCs w:val="21"/>
              </w:rPr>
              <w:t>2.2</w:t>
            </w:r>
            <w:r>
              <w:rPr>
                <w:rFonts w:hint="eastAsia" w:cs="宋体" w:asciiTheme="minorEastAsia" w:hAnsiTheme="minorEastAsia"/>
                <w:b/>
                <w:kern w:val="0"/>
                <w:szCs w:val="21"/>
              </w:rPr>
              <w:t>项得</w:t>
            </w:r>
            <w:r>
              <w:rPr>
                <w:rFonts w:cs="宋体" w:asciiTheme="minorEastAsia" w:hAnsiTheme="minorEastAsia"/>
                <w:b/>
                <w:kern w:val="0"/>
                <w:szCs w:val="21"/>
              </w:rPr>
              <w:t>0分；</w:t>
            </w:r>
          </w:p>
          <w:p>
            <w:pPr>
              <w:autoSpaceDE w:val="0"/>
              <w:autoSpaceDN w:val="0"/>
              <w:adjustRightInd w:val="0"/>
              <w:spacing w:line="300" w:lineRule="exact"/>
              <w:ind w:right="-210" w:rightChars="-100"/>
              <w:jc w:val="left"/>
              <w:rPr>
                <w:rFonts w:cs="宋体" w:asciiTheme="minorEastAsia" w:hAnsiTheme="minorEastAsia"/>
                <w:b/>
                <w:kern w:val="0"/>
                <w:szCs w:val="21"/>
              </w:rPr>
            </w:pPr>
            <w:r>
              <w:rPr>
                <w:rFonts w:hint="eastAsia" w:cs="宋体" w:asciiTheme="minorEastAsia" w:hAnsiTheme="minorEastAsia"/>
                <w:b/>
                <w:kern w:val="0"/>
                <w:szCs w:val="21"/>
              </w:rPr>
              <w:t>企业近三年发生较大安全事故每次扣</w:t>
            </w:r>
            <w:r>
              <w:rPr>
                <w:rFonts w:cs="宋体" w:asciiTheme="minorEastAsia" w:hAnsiTheme="minorEastAsia"/>
                <w:b/>
                <w:kern w:val="0"/>
                <w:szCs w:val="21"/>
              </w:rPr>
              <w:t>1分,3次及以上2.2.4项</w:t>
            </w:r>
          </w:p>
          <w:p>
            <w:pPr>
              <w:autoSpaceDE w:val="0"/>
              <w:autoSpaceDN w:val="0"/>
              <w:adjustRightInd w:val="0"/>
              <w:spacing w:line="300" w:lineRule="exact"/>
              <w:ind w:right="-210" w:rightChars="-100"/>
              <w:rPr>
                <w:rFonts w:cs="宋体" w:asciiTheme="minorEastAsia" w:hAnsiTheme="minorEastAsia"/>
                <w:b/>
                <w:kern w:val="0"/>
                <w:szCs w:val="21"/>
              </w:rPr>
            </w:pPr>
            <w:r>
              <w:rPr>
                <w:rFonts w:cs="宋体" w:asciiTheme="minorEastAsia" w:hAnsiTheme="minorEastAsia"/>
                <w:b/>
                <w:kern w:val="0"/>
                <w:szCs w:val="21"/>
              </w:rPr>
              <w:t>得0分；</w:t>
            </w:r>
          </w:p>
          <w:p>
            <w:pPr>
              <w:autoSpaceDE w:val="0"/>
              <w:autoSpaceDN w:val="0"/>
              <w:adjustRightInd w:val="0"/>
              <w:spacing w:line="300" w:lineRule="exact"/>
              <w:ind w:right="-735" w:rightChars="-350"/>
              <w:jc w:val="left"/>
              <w:rPr>
                <w:rFonts w:cs="宋体" w:asciiTheme="minorEastAsia" w:hAnsiTheme="minorEastAsia"/>
                <w:b/>
                <w:kern w:val="0"/>
                <w:szCs w:val="21"/>
              </w:rPr>
            </w:pPr>
            <w:r>
              <w:rPr>
                <w:rFonts w:hint="eastAsia" w:cs="宋体" w:asciiTheme="minorEastAsia" w:hAnsiTheme="minorEastAsia"/>
                <w:b/>
                <w:kern w:val="0"/>
                <w:szCs w:val="21"/>
              </w:rPr>
              <w:t>企业近三年发生一般安全事故每次扣</w:t>
            </w:r>
            <w:r>
              <w:rPr>
                <w:rFonts w:cs="宋体" w:asciiTheme="minorEastAsia" w:hAnsiTheme="minorEastAsia"/>
                <w:b/>
                <w:kern w:val="0"/>
                <w:szCs w:val="21"/>
              </w:rPr>
              <w:t>0.5分,5次及以上2.2.4项</w:t>
            </w:r>
          </w:p>
          <w:p>
            <w:pPr>
              <w:autoSpaceDE w:val="0"/>
              <w:autoSpaceDN w:val="0"/>
              <w:adjustRightInd w:val="0"/>
              <w:spacing w:line="300" w:lineRule="exact"/>
              <w:ind w:right="-735" w:rightChars="-350"/>
              <w:jc w:val="left"/>
              <w:rPr>
                <w:rFonts w:cs="宋体" w:asciiTheme="minorEastAsia" w:hAnsiTheme="minorEastAsia"/>
                <w:b/>
                <w:kern w:val="0"/>
                <w:szCs w:val="21"/>
              </w:rPr>
            </w:pPr>
            <w:r>
              <w:rPr>
                <w:rFonts w:cs="宋体" w:asciiTheme="minorEastAsia" w:hAnsiTheme="minorEastAsia"/>
                <w:b/>
                <w:kern w:val="0"/>
                <w:szCs w:val="21"/>
              </w:rPr>
              <w:t>得0分;</w:t>
            </w:r>
          </w:p>
          <w:p>
            <w:pPr>
              <w:autoSpaceDE w:val="0"/>
              <w:autoSpaceDN w:val="0"/>
              <w:adjustRightInd w:val="0"/>
              <w:spacing w:line="300" w:lineRule="exact"/>
              <w:jc w:val="left"/>
              <w:rPr>
                <w:rFonts w:cs="宋体" w:asciiTheme="minorEastAsia" w:hAnsiTheme="minorEastAsia"/>
                <w:b/>
                <w:kern w:val="0"/>
                <w:szCs w:val="21"/>
              </w:rPr>
            </w:pPr>
            <w:r>
              <w:rPr>
                <w:rFonts w:hint="eastAsia" w:cs="宋体" w:asciiTheme="minorEastAsia" w:hAnsiTheme="minorEastAsia"/>
                <w:b/>
                <w:kern w:val="0"/>
                <w:szCs w:val="21"/>
              </w:rPr>
              <w:t>企业近三年项目未按要求制定安全技术措施每项目扣</w:t>
            </w:r>
            <w:r>
              <w:rPr>
                <w:rFonts w:cs="宋体" w:asciiTheme="minorEastAsia" w:hAnsiTheme="minorEastAsia"/>
                <w:b/>
                <w:kern w:val="0"/>
                <w:szCs w:val="21"/>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1" w:type="dxa"/>
            <w:vMerge w:val="continue"/>
            <w:vAlign w:val="center"/>
          </w:tcPr>
          <w:p>
            <w:pPr>
              <w:autoSpaceDE w:val="0"/>
              <w:autoSpaceDN w:val="0"/>
              <w:adjustRightInd w:val="0"/>
              <w:spacing w:line="300" w:lineRule="exact"/>
              <w:jc w:val="center"/>
              <w:rPr>
                <w:rFonts w:cs="宋体" w:asciiTheme="minorEastAsia" w:hAnsiTheme="minorEastAsia"/>
                <w:b/>
                <w:bCs/>
                <w:kern w:val="0"/>
                <w:szCs w:val="21"/>
              </w:rPr>
            </w:pPr>
          </w:p>
        </w:tc>
        <w:tc>
          <w:tcPr>
            <w:tcW w:w="1276" w:type="dxa"/>
            <w:vMerge w:val="continue"/>
            <w:vAlign w:val="center"/>
          </w:tcPr>
          <w:p>
            <w:pPr>
              <w:autoSpaceDE w:val="0"/>
              <w:autoSpaceDN w:val="0"/>
              <w:adjustRightInd w:val="0"/>
              <w:spacing w:line="300" w:lineRule="exact"/>
              <w:jc w:val="center"/>
              <w:rPr>
                <w:rFonts w:cs="宋体" w:asciiTheme="minorEastAsia" w:hAnsiTheme="minorEastAsia"/>
                <w:b/>
                <w:kern w:val="0"/>
                <w:szCs w:val="21"/>
              </w:rPr>
            </w:pPr>
          </w:p>
        </w:tc>
        <w:tc>
          <w:tcPr>
            <w:tcW w:w="1256" w:type="dxa"/>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2.2.5</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竣工验收</w:t>
            </w:r>
          </w:p>
        </w:tc>
        <w:tc>
          <w:tcPr>
            <w:tcW w:w="1011" w:type="dxa"/>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2分</w:t>
            </w:r>
          </w:p>
        </w:tc>
        <w:tc>
          <w:tcPr>
            <w:tcW w:w="4060" w:type="dxa"/>
            <w:vAlign w:val="center"/>
          </w:tcPr>
          <w:p>
            <w:pPr>
              <w:autoSpaceDE w:val="0"/>
              <w:autoSpaceDN w:val="0"/>
              <w:adjustRightInd w:val="0"/>
              <w:spacing w:line="300" w:lineRule="exact"/>
              <w:rPr>
                <w:rFonts w:cs="宋体" w:asciiTheme="minorEastAsia" w:hAnsiTheme="minorEastAsia"/>
                <w:b/>
                <w:kern w:val="0"/>
                <w:szCs w:val="21"/>
              </w:rPr>
            </w:pPr>
            <w:r>
              <w:rPr>
                <w:rFonts w:hint="eastAsia" w:cs="宋体" w:asciiTheme="minorEastAsia" w:hAnsiTheme="minorEastAsia"/>
                <w:b/>
                <w:kern w:val="0"/>
                <w:szCs w:val="21"/>
              </w:rPr>
              <w:t>评价企业工程竣工阶段竣工验收的合法合规性。</w:t>
            </w:r>
          </w:p>
        </w:tc>
        <w:tc>
          <w:tcPr>
            <w:tcW w:w="6834" w:type="dxa"/>
            <w:vAlign w:val="center"/>
          </w:tcPr>
          <w:p>
            <w:pPr>
              <w:autoSpaceDE w:val="0"/>
              <w:autoSpaceDN w:val="0"/>
              <w:adjustRightInd w:val="0"/>
              <w:spacing w:line="300" w:lineRule="exact"/>
              <w:jc w:val="left"/>
              <w:rPr>
                <w:rFonts w:cs="宋体" w:asciiTheme="minorEastAsia" w:hAnsiTheme="minorEastAsia"/>
                <w:b/>
                <w:kern w:val="0"/>
                <w:szCs w:val="21"/>
              </w:rPr>
            </w:pPr>
            <w:r>
              <w:rPr>
                <w:rFonts w:hint="eastAsia" w:cs="宋体" w:asciiTheme="minorEastAsia" w:hAnsiTheme="minorEastAsia"/>
                <w:b/>
                <w:kern w:val="0"/>
                <w:szCs w:val="21"/>
              </w:rPr>
              <w:t>企业近三年竣工的项目，未按相关规定办理规划、消防、配套设施等验收，每项目每缺少</w:t>
            </w:r>
            <w:r>
              <w:rPr>
                <w:rFonts w:cs="Times New Roman" w:asciiTheme="minorEastAsia" w:hAnsiTheme="minorEastAsia"/>
                <w:b/>
                <w:kern w:val="0"/>
                <w:szCs w:val="21"/>
              </w:rPr>
              <w:t>1</w:t>
            </w:r>
            <w:r>
              <w:rPr>
                <w:rFonts w:hint="eastAsia" w:cs="宋体" w:asciiTheme="minorEastAsia" w:hAnsiTheme="minorEastAsia"/>
                <w:b/>
                <w:kern w:val="0"/>
                <w:szCs w:val="21"/>
              </w:rPr>
              <w:t>项扣</w:t>
            </w:r>
            <w:r>
              <w:rPr>
                <w:rFonts w:cs="Times New Roman" w:asciiTheme="minorEastAsia" w:hAnsiTheme="minorEastAsia"/>
                <w:b/>
                <w:kern w:val="0"/>
                <w:szCs w:val="21"/>
              </w:rPr>
              <w:t>0.5</w:t>
            </w:r>
            <w:r>
              <w:rPr>
                <w:rFonts w:hint="eastAsia" w:cs="宋体" w:asciiTheme="minorEastAsia" w:hAnsiTheme="minorEastAsia"/>
                <w:b/>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5" w:hRule="atLeast"/>
          <w:jc w:val="center"/>
        </w:trPr>
        <w:tc>
          <w:tcPr>
            <w:tcW w:w="1301" w:type="dxa"/>
            <w:vMerge w:val="continue"/>
            <w:vAlign w:val="center"/>
          </w:tcPr>
          <w:p>
            <w:pPr>
              <w:autoSpaceDE w:val="0"/>
              <w:autoSpaceDN w:val="0"/>
              <w:adjustRightInd w:val="0"/>
              <w:spacing w:line="300" w:lineRule="exact"/>
              <w:jc w:val="center"/>
              <w:rPr>
                <w:rFonts w:cs="宋体" w:asciiTheme="minorEastAsia" w:hAnsiTheme="minorEastAsia"/>
                <w:b/>
                <w:bCs/>
                <w:kern w:val="0"/>
                <w:szCs w:val="21"/>
              </w:rPr>
            </w:pPr>
          </w:p>
        </w:tc>
        <w:tc>
          <w:tcPr>
            <w:tcW w:w="1276" w:type="dxa"/>
            <w:vMerge w:val="restart"/>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2.3</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企业销售</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阶段信用</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w:t>
            </w:r>
            <w:r>
              <w:rPr>
                <w:rFonts w:cs="宋体" w:asciiTheme="minorEastAsia" w:hAnsiTheme="minorEastAsia"/>
                <w:b/>
                <w:kern w:val="0"/>
                <w:szCs w:val="21"/>
              </w:rPr>
              <w:t>23分）</w:t>
            </w:r>
          </w:p>
          <w:p>
            <w:pPr>
              <w:autoSpaceDE w:val="0"/>
              <w:autoSpaceDN w:val="0"/>
              <w:adjustRightInd w:val="0"/>
              <w:spacing w:line="300" w:lineRule="exact"/>
              <w:jc w:val="center"/>
              <w:rPr>
                <w:rFonts w:cs="宋体" w:asciiTheme="minorEastAsia" w:hAnsiTheme="minorEastAsia"/>
                <w:b/>
                <w:kern w:val="0"/>
                <w:szCs w:val="21"/>
              </w:rPr>
            </w:pPr>
          </w:p>
        </w:tc>
        <w:tc>
          <w:tcPr>
            <w:tcW w:w="1256" w:type="dxa"/>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2.3.1</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推广信用</w:t>
            </w:r>
          </w:p>
          <w:p>
            <w:pPr>
              <w:autoSpaceDE w:val="0"/>
              <w:autoSpaceDN w:val="0"/>
              <w:adjustRightInd w:val="0"/>
              <w:spacing w:line="300" w:lineRule="exact"/>
              <w:jc w:val="center"/>
              <w:rPr>
                <w:rFonts w:cs="宋体" w:asciiTheme="minorEastAsia" w:hAnsiTheme="minorEastAsia"/>
                <w:b/>
                <w:kern w:val="0"/>
                <w:szCs w:val="21"/>
              </w:rPr>
            </w:pPr>
          </w:p>
        </w:tc>
        <w:tc>
          <w:tcPr>
            <w:tcW w:w="1011" w:type="dxa"/>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8分</w:t>
            </w:r>
          </w:p>
        </w:tc>
        <w:tc>
          <w:tcPr>
            <w:tcW w:w="4060" w:type="dxa"/>
            <w:vAlign w:val="center"/>
          </w:tcPr>
          <w:p>
            <w:pPr>
              <w:autoSpaceDE w:val="0"/>
              <w:autoSpaceDN w:val="0"/>
              <w:adjustRightInd w:val="0"/>
              <w:spacing w:line="300" w:lineRule="exact"/>
              <w:rPr>
                <w:rFonts w:cs="宋体" w:asciiTheme="minorEastAsia" w:hAnsiTheme="minorEastAsia"/>
                <w:b/>
                <w:kern w:val="0"/>
                <w:szCs w:val="21"/>
              </w:rPr>
            </w:pPr>
            <w:r>
              <w:rPr>
                <w:rFonts w:hint="eastAsia" w:cs="宋体" w:asciiTheme="minorEastAsia" w:hAnsiTheme="minorEastAsia"/>
                <w:b/>
                <w:kern w:val="0"/>
                <w:szCs w:val="21"/>
              </w:rPr>
              <w:t>评价企业在销售推广过程中是否遵守相关规定，办理相关证件；对消费者是否诚信，是否存在欺诈、误导消费者的行为。</w:t>
            </w:r>
          </w:p>
        </w:tc>
        <w:tc>
          <w:tcPr>
            <w:tcW w:w="6834" w:type="dxa"/>
            <w:vAlign w:val="center"/>
          </w:tcPr>
          <w:p>
            <w:pPr>
              <w:autoSpaceDE w:val="0"/>
              <w:autoSpaceDN w:val="0"/>
              <w:adjustRightInd w:val="0"/>
              <w:spacing w:line="300" w:lineRule="exact"/>
              <w:rPr>
                <w:rFonts w:cs="宋体" w:asciiTheme="minorEastAsia" w:hAnsiTheme="minorEastAsia"/>
                <w:b/>
                <w:kern w:val="0"/>
                <w:szCs w:val="21"/>
              </w:rPr>
            </w:pPr>
            <w:r>
              <w:rPr>
                <w:rFonts w:hint="eastAsia" w:cs="宋体" w:asciiTheme="minorEastAsia" w:hAnsiTheme="minorEastAsia"/>
                <w:b/>
                <w:kern w:val="0"/>
                <w:szCs w:val="21"/>
              </w:rPr>
              <w:t>企业近三年每项目在预售销售过程中，如出现下列情况，每项扣</w:t>
            </w:r>
            <w:r>
              <w:rPr>
                <w:rFonts w:cs="宋体" w:asciiTheme="minorEastAsia" w:hAnsiTheme="minorEastAsia"/>
                <w:b/>
                <w:kern w:val="0"/>
                <w:szCs w:val="21"/>
              </w:rPr>
              <w:t>0.5分，累计扣满8分，若发生下列4项不同的非诚信行为，2.3.1项得0分；发生5项则2.3项得0分：</w:t>
            </w:r>
          </w:p>
          <w:p>
            <w:pPr>
              <w:autoSpaceDE w:val="0"/>
              <w:autoSpaceDN w:val="0"/>
              <w:adjustRightInd w:val="0"/>
              <w:spacing w:line="300" w:lineRule="exact"/>
              <w:jc w:val="left"/>
              <w:rPr>
                <w:rFonts w:cs="宋体" w:asciiTheme="minorEastAsia" w:hAnsiTheme="minorEastAsia"/>
                <w:b/>
                <w:kern w:val="0"/>
                <w:szCs w:val="21"/>
              </w:rPr>
            </w:pPr>
            <w:r>
              <w:rPr>
                <w:rFonts w:cs="宋体" w:asciiTheme="minorEastAsia" w:hAnsiTheme="minorEastAsia"/>
                <w:b/>
                <w:kern w:val="0"/>
                <w:szCs w:val="21"/>
              </w:rPr>
              <w:t>(1)广告发布虚假房源信息；</w:t>
            </w:r>
          </w:p>
          <w:p>
            <w:pPr>
              <w:autoSpaceDE w:val="0"/>
              <w:autoSpaceDN w:val="0"/>
              <w:adjustRightInd w:val="0"/>
              <w:spacing w:line="300" w:lineRule="exact"/>
              <w:jc w:val="left"/>
              <w:rPr>
                <w:rFonts w:cs="宋体" w:asciiTheme="minorEastAsia" w:hAnsiTheme="minorEastAsia"/>
                <w:b/>
                <w:kern w:val="0"/>
                <w:szCs w:val="21"/>
              </w:rPr>
            </w:pPr>
            <w:r>
              <w:rPr>
                <w:rFonts w:cs="宋体" w:asciiTheme="minorEastAsia" w:hAnsiTheme="minorEastAsia"/>
                <w:b/>
                <w:kern w:val="0"/>
                <w:szCs w:val="21"/>
              </w:rPr>
              <w:t>(2)发布广告含有以下内容之一：升值或者投资回报的承诺；以项目到达某一具体参照物的所需时间表示项目位置；违反国家有关价格管理的规定；对规划或者建设中的交通、商业、文化教育设施以及其他市政条件作误导宣传；</w:t>
            </w:r>
          </w:p>
          <w:p>
            <w:pPr>
              <w:autoSpaceDE w:val="0"/>
              <w:autoSpaceDN w:val="0"/>
              <w:adjustRightInd w:val="0"/>
              <w:spacing w:line="300" w:lineRule="exact"/>
              <w:rPr>
                <w:rFonts w:cs="宋体" w:asciiTheme="minorEastAsia" w:hAnsiTheme="minorEastAsia"/>
                <w:b/>
                <w:kern w:val="0"/>
                <w:szCs w:val="21"/>
              </w:rPr>
            </w:pPr>
            <w:r>
              <w:rPr>
                <w:rFonts w:cs="宋体" w:asciiTheme="minorEastAsia" w:hAnsiTheme="minorEastAsia"/>
                <w:b/>
                <w:kern w:val="0"/>
                <w:szCs w:val="21"/>
              </w:rPr>
              <w:t>(3)存在以下情况仍在发布广告:在未经依法取得国有土地使用权的土地上开发建设的;在未经国家征用的集体所有的土地上建设的;司法机关和行政机关依法规定、决定查封或者以其他形式限制房地产权利的;预售房地产，但未取得该项目预售许可证的;权属有争议的;不符合工程质量标准，验收不合格；</w:t>
            </w:r>
          </w:p>
          <w:p>
            <w:pPr>
              <w:autoSpaceDE w:val="0"/>
              <w:autoSpaceDN w:val="0"/>
              <w:adjustRightInd w:val="0"/>
              <w:spacing w:line="300" w:lineRule="exact"/>
              <w:rPr>
                <w:rFonts w:cs="宋体" w:asciiTheme="minorEastAsia" w:hAnsiTheme="minorEastAsia"/>
                <w:b/>
                <w:kern w:val="0"/>
                <w:szCs w:val="21"/>
              </w:rPr>
            </w:pPr>
            <w:r>
              <w:rPr>
                <w:rFonts w:cs="宋体" w:asciiTheme="minorEastAsia" w:hAnsiTheme="minorEastAsia"/>
                <w:b/>
                <w:kern w:val="0"/>
                <w:szCs w:val="21"/>
              </w:rPr>
              <w:t>(4)广告中未载明以下事项：开发企业名称;中介服务机构代理销售的，中介服务机构名称；预售或者销售许可证书号；</w:t>
            </w:r>
          </w:p>
          <w:p>
            <w:pPr>
              <w:autoSpaceDE w:val="0"/>
              <w:autoSpaceDN w:val="0"/>
              <w:adjustRightInd w:val="0"/>
              <w:spacing w:line="300" w:lineRule="exact"/>
              <w:rPr>
                <w:rFonts w:cs="宋体" w:asciiTheme="minorEastAsia" w:hAnsiTheme="minorEastAsia"/>
                <w:b/>
                <w:kern w:val="0"/>
                <w:szCs w:val="21"/>
              </w:rPr>
            </w:pPr>
            <w:r>
              <w:rPr>
                <w:rFonts w:cs="宋体" w:asciiTheme="minorEastAsia" w:hAnsiTheme="minorEastAsia"/>
                <w:b/>
                <w:kern w:val="0"/>
                <w:szCs w:val="21"/>
              </w:rPr>
              <w:t>(5)广告中含有风水、占卜等封建迷信内容,有悖社会良好风尚；</w:t>
            </w:r>
          </w:p>
          <w:p>
            <w:pPr>
              <w:autoSpaceDE w:val="0"/>
              <w:autoSpaceDN w:val="0"/>
              <w:adjustRightInd w:val="0"/>
              <w:spacing w:line="300" w:lineRule="exact"/>
              <w:jc w:val="left"/>
              <w:rPr>
                <w:rFonts w:cs="宋体" w:asciiTheme="minorEastAsia" w:hAnsiTheme="minorEastAsia"/>
                <w:b/>
                <w:kern w:val="0"/>
                <w:szCs w:val="21"/>
              </w:rPr>
            </w:pPr>
            <w:r>
              <w:rPr>
                <w:rFonts w:cs="宋体" w:asciiTheme="minorEastAsia" w:hAnsiTheme="minorEastAsia"/>
                <w:b/>
                <w:kern w:val="0"/>
                <w:szCs w:val="21"/>
              </w:rPr>
              <w:t>(6)广告中存在价格、面积、配套设施等欺诈现象；</w:t>
            </w:r>
          </w:p>
          <w:p>
            <w:pPr>
              <w:autoSpaceDE w:val="0"/>
              <w:autoSpaceDN w:val="0"/>
              <w:adjustRightInd w:val="0"/>
              <w:spacing w:line="300" w:lineRule="exact"/>
              <w:jc w:val="left"/>
              <w:rPr>
                <w:rFonts w:cs="宋体" w:asciiTheme="minorEastAsia" w:hAnsiTheme="minorEastAsia"/>
                <w:b/>
                <w:kern w:val="0"/>
                <w:szCs w:val="21"/>
              </w:rPr>
            </w:pPr>
            <w:r>
              <w:rPr>
                <w:rFonts w:cs="宋体" w:asciiTheme="minorEastAsia" w:hAnsiTheme="minorEastAsia"/>
                <w:b/>
                <w:kern w:val="0"/>
                <w:szCs w:val="21"/>
              </w:rPr>
              <w:t>(7)广告利用其他项目的形象、环境作为本项目的效果误导消费者；</w:t>
            </w:r>
          </w:p>
          <w:p>
            <w:pPr>
              <w:autoSpaceDE w:val="0"/>
              <w:autoSpaceDN w:val="0"/>
              <w:adjustRightInd w:val="0"/>
              <w:spacing w:line="300" w:lineRule="exact"/>
              <w:jc w:val="left"/>
              <w:rPr>
                <w:rFonts w:cs="宋体" w:asciiTheme="minorEastAsia" w:hAnsiTheme="minorEastAsia"/>
                <w:b/>
                <w:kern w:val="0"/>
                <w:szCs w:val="21"/>
              </w:rPr>
            </w:pPr>
            <w:r>
              <w:rPr>
                <w:rFonts w:cs="宋体" w:asciiTheme="minorEastAsia" w:hAnsiTheme="minorEastAsia"/>
                <w:b/>
                <w:kern w:val="0"/>
                <w:szCs w:val="21"/>
              </w:rPr>
              <w:t>(8)广告中出现融资或者变相融资的内容；</w:t>
            </w:r>
          </w:p>
          <w:p>
            <w:pPr>
              <w:autoSpaceDE w:val="0"/>
              <w:autoSpaceDN w:val="0"/>
              <w:adjustRightInd w:val="0"/>
              <w:spacing w:line="300" w:lineRule="exact"/>
              <w:jc w:val="left"/>
              <w:rPr>
                <w:rFonts w:cs="宋体" w:asciiTheme="minorEastAsia" w:hAnsiTheme="minorEastAsia"/>
                <w:b/>
                <w:kern w:val="0"/>
                <w:szCs w:val="21"/>
              </w:rPr>
            </w:pPr>
            <w:r>
              <w:rPr>
                <w:rFonts w:cs="宋体" w:asciiTheme="minorEastAsia" w:hAnsiTheme="minorEastAsia"/>
                <w:b/>
                <w:kern w:val="0"/>
                <w:szCs w:val="21"/>
              </w:rPr>
              <w:t>(9)广告中有能够为入住者办理户口、就业、升学等事项的承诺；</w:t>
            </w:r>
          </w:p>
          <w:p>
            <w:pPr>
              <w:autoSpaceDE w:val="0"/>
              <w:autoSpaceDN w:val="0"/>
              <w:adjustRightInd w:val="0"/>
              <w:spacing w:line="300" w:lineRule="exact"/>
              <w:jc w:val="left"/>
              <w:rPr>
                <w:rFonts w:cs="宋体" w:asciiTheme="minorEastAsia" w:hAnsiTheme="minorEastAsia"/>
                <w:b/>
                <w:kern w:val="0"/>
                <w:szCs w:val="21"/>
              </w:rPr>
            </w:pPr>
            <w:r>
              <w:rPr>
                <w:rFonts w:cs="宋体" w:asciiTheme="minorEastAsia" w:hAnsiTheme="minorEastAsia"/>
                <w:b/>
                <w:kern w:val="0"/>
                <w:szCs w:val="21"/>
              </w:rPr>
              <w:t>(10)广告中涉及虚假装修装饰内容。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5" w:hRule="atLeast"/>
          <w:jc w:val="center"/>
        </w:trPr>
        <w:tc>
          <w:tcPr>
            <w:tcW w:w="1301" w:type="dxa"/>
            <w:vMerge w:val="continue"/>
          </w:tcPr>
          <w:p>
            <w:pPr>
              <w:autoSpaceDE w:val="0"/>
              <w:autoSpaceDN w:val="0"/>
              <w:adjustRightInd w:val="0"/>
              <w:spacing w:line="300" w:lineRule="exact"/>
              <w:jc w:val="center"/>
              <w:rPr>
                <w:rFonts w:cs="宋体" w:asciiTheme="minorEastAsia" w:hAnsiTheme="minorEastAsia"/>
                <w:b/>
                <w:bCs/>
                <w:kern w:val="0"/>
                <w:szCs w:val="21"/>
              </w:rPr>
            </w:pPr>
          </w:p>
        </w:tc>
        <w:tc>
          <w:tcPr>
            <w:tcW w:w="1276" w:type="dxa"/>
            <w:vMerge w:val="continue"/>
            <w:vAlign w:val="center"/>
          </w:tcPr>
          <w:p>
            <w:pPr>
              <w:autoSpaceDE w:val="0"/>
              <w:autoSpaceDN w:val="0"/>
              <w:adjustRightInd w:val="0"/>
              <w:spacing w:line="300" w:lineRule="exact"/>
              <w:jc w:val="center"/>
              <w:rPr>
                <w:rFonts w:cs="宋体" w:asciiTheme="minorEastAsia" w:hAnsiTheme="minorEastAsia"/>
                <w:b/>
                <w:kern w:val="0"/>
                <w:szCs w:val="21"/>
              </w:rPr>
            </w:pPr>
          </w:p>
        </w:tc>
        <w:tc>
          <w:tcPr>
            <w:tcW w:w="1256" w:type="dxa"/>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2.3.2</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预、销售信用</w:t>
            </w:r>
          </w:p>
          <w:p>
            <w:pPr>
              <w:autoSpaceDE w:val="0"/>
              <w:autoSpaceDN w:val="0"/>
              <w:adjustRightInd w:val="0"/>
              <w:spacing w:line="300" w:lineRule="exact"/>
              <w:jc w:val="center"/>
              <w:rPr>
                <w:rFonts w:cs="宋体" w:asciiTheme="minorEastAsia" w:hAnsiTheme="minorEastAsia"/>
                <w:b/>
                <w:kern w:val="0"/>
                <w:szCs w:val="21"/>
              </w:rPr>
            </w:pPr>
          </w:p>
        </w:tc>
        <w:tc>
          <w:tcPr>
            <w:tcW w:w="1011" w:type="dxa"/>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9分</w:t>
            </w:r>
          </w:p>
        </w:tc>
        <w:tc>
          <w:tcPr>
            <w:tcW w:w="4060" w:type="dxa"/>
            <w:vAlign w:val="center"/>
          </w:tcPr>
          <w:p>
            <w:pPr>
              <w:autoSpaceDE w:val="0"/>
              <w:autoSpaceDN w:val="0"/>
              <w:adjustRightInd w:val="0"/>
              <w:spacing w:line="300" w:lineRule="exact"/>
              <w:rPr>
                <w:rFonts w:cs="宋体" w:asciiTheme="minorEastAsia" w:hAnsiTheme="minorEastAsia"/>
                <w:b/>
                <w:kern w:val="0"/>
                <w:szCs w:val="21"/>
              </w:rPr>
            </w:pPr>
            <w:r>
              <w:rPr>
                <w:rFonts w:hint="eastAsia" w:cs="宋体" w:asciiTheme="minorEastAsia" w:hAnsiTheme="minorEastAsia"/>
                <w:b/>
                <w:kern w:val="0"/>
                <w:szCs w:val="21"/>
              </w:rPr>
              <w:t>评价企业预售和销售商品房的信用情况。主要包括是否严格遵守相关规定，按照相关程序合法合规预售、销售；在出售商品房过程中有无欺诈、误导消费者行为。</w:t>
            </w:r>
          </w:p>
        </w:tc>
        <w:tc>
          <w:tcPr>
            <w:tcW w:w="6834" w:type="dxa"/>
            <w:vAlign w:val="center"/>
          </w:tcPr>
          <w:p>
            <w:pPr>
              <w:autoSpaceDE w:val="0"/>
              <w:autoSpaceDN w:val="0"/>
              <w:adjustRightInd w:val="0"/>
              <w:spacing w:line="300" w:lineRule="exact"/>
              <w:rPr>
                <w:rFonts w:cs="宋体" w:asciiTheme="minorEastAsia" w:hAnsiTheme="minorEastAsia"/>
                <w:b/>
                <w:kern w:val="0"/>
                <w:szCs w:val="21"/>
              </w:rPr>
            </w:pPr>
            <w:r>
              <w:rPr>
                <w:rFonts w:hint="eastAsia" w:cs="宋体" w:asciiTheme="minorEastAsia" w:hAnsiTheme="minorEastAsia"/>
                <w:b/>
                <w:kern w:val="0"/>
                <w:szCs w:val="21"/>
              </w:rPr>
              <w:t>企业近三年每项目在预售销售过程中，如出现下列情况，每项扣</w:t>
            </w:r>
            <w:r>
              <w:rPr>
                <w:rFonts w:cs="宋体" w:asciiTheme="minorEastAsia" w:hAnsiTheme="minorEastAsia"/>
                <w:b/>
                <w:kern w:val="0"/>
                <w:szCs w:val="21"/>
              </w:rPr>
              <w:t>0.5分，累计扣满9分，若发生下列4项不同的非诚信行为，2.3.2项得0分；发生5项则2.3项得0分：</w:t>
            </w:r>
          </w:p>
          <w:p>
            <w:pPr>
              <w:autoSpaceDE w:val="0"/>
              <w:autoSpaceDN w:val="0"/>
              <w:adjustRightInd w:val="0"/>
              <w:spacing w:line="300" w:lineRule="exact"/>
              <w:rPr>
                <w:rFonts w:cs="宋体" w:asciiTheme="minorEastAsia" w:hAnsiTheme="minorEastAsia"/>
                <w:b/>
                <w:kern w:val="0"/>
                <w:szCs w:val="21"/>
              </w:rPr>
            </w:pPr>
            <w:r>
              <w:rPr>
                <w:rFonts w:cs="宋体" w:asciiTheme="minorEastAsia" w:hAnsiTheme="minorEastAsia"/>
                <w:b/>
                <w:kern w:val="0"/>
                <w:szCs w:val="21"/>
              </w:rPr>
              <w:t>(1)未取得商品房预（销）售许可证，进行商品房销售；</w:t>
            </w:r>
          </w:p>
          <w:p>
            <w:pPr>
              <w:autoSpaceDE w:val="0"/>
              <w:autoSpaceDN w:val="0"/>
              <w:adjustRightInd w:val="0"/>
              <w:spacing w:line="300" w:lineRule="exact"/>
              <w:rPr>
                <w:rFonts w:cs="宋体" w:asciiTheme="minorEastAsia" w:hAnsiTheme="minorEastAsia"/>
                <w:b/>
                <w:kern w:val="0"/>
                <w:szCs w:val="21"/>
              </w:rPr>
            </w:pPr>
            <w:r>
              <w:rPr>
                <w:rFonts w:cs="宋体" w:asciiTheme="minorEastAsia" w:hAnsiTheme="minorEastAsia"/>
                <w:b/>
                <w:kern w:val="0"/>
                <w:szCs w:val="21"/>
              </w:rPr>
              <w:t>(2)</w:t>
            </w:r>
            <w:r>
              <w:rPr>
                <w:rFonts w:hint="eastAsia" w:cs="宋体" w:asciiTheme="minorEastAsia" w:hAnsiTheme="minorEastAsia"/>
                <w:b/>
                <w:kern w:val="0"/>
                <w:szCs w:val="21"/>
              </w:rPr>
              <w:t>企业预售资金未能及时入资金监管账户</w:t>
            </w:r>
            <w:r>
              <w:rPr>
                <w:rFonts w:cs="宋体" w:asciiTheme="minorEastAsia" w:hAnsiTheme="minorEastAsia"/>
                <w:b/>
                <w:kern w:val="0"/>
                <w:szCs w:val="21"/>
              </w:rPr>
              <w:t>；</w:t>
            </w:r>
          </w:p>
          <w:p>
            <w:pPr>
              <w:autoSpaceDE w:val="0"/>
              <w:autoSpaceDN w:val="0"/>
              <w:adjustRightInd w:val="0"/>
              <w:spacing w:line="300" w:lineRule="exact"/>
              <w:rPr>
                <w:rFonts w:cs="宋体" w:asciiTheme="minorEastAsia" w:hAnsiTheme="minorEastAsia"/>
                <w:b/>
                <w:kern w:val="0"/>
                <w:szCs w:val="21"/>
              </w:rPr>
            </w:pPr>
            <w:r>
              <w:rPr>
                <w:rFonts w:cs="宋体" w:asciiTheme="minorEastAsia" w:hAnsiTheme="minorEastAsia"/>
                <w:b/>
                <w:kern w:val="0"/>
                <w:szCs w:val="21"/>
              </w:rPr>
              <w:t>(3)委托没有资格的中介机构代理销售；</w:t>
            </w:r>
          </w:p>
          <w:p>
            <w:pPr>
              <w:autoSpaceDE w:val="0"/>
              <w:autoSpaceDN w:val="0"/>
              <w:adjustRightInd w:val="0"/>
              <w:spacing w:line="300" w:lineRule="exact"/>
              <w:rPr>
                <w:rFonts w:cs="宋体" w:asciiTheme="minorEastAsia" w:hAnsiTheme="minorEastAsia"/>
                <w:b/>
                <w:kern w:val="0"/>
                <w:szCs w:val="21"/>
              </w:rPr>
            </w:pPr>
            <w:r>
              <w:rPr>
                <w:rFonts w:cs="宋体" w:asciiTheme="minorEastAsia" w:hAnsiTheme="minorEastAsia"/>
                <w:b/>
                <w:kern w:val="0"/>
                <w:szCs w:val="21"/>
              </w:rPr>
              <w:t>(4)预售已抵押的商品房，未通知抵押权人或未将抵押情况告知买受人；</w:t>
            </w:r>
          </w:p>
          <w:p>
            <w:pPr>
              <w:autoSpaceDE w:val="0"/>
              <w:autoSpaceDN w:val="0"/>
              <w:adjustRightInd w:val="0"/>
              <w:spacing w:line="300" w:lineRule="exact"/>
              <w:rPr>
                <w:rFonts w:cs="宋体" w:asciiTheme="minorEastAsia" w:hAnsiTheme="minorEastAsia"/>
                <w:b/>
                <w:kern w:val="0"/>
                <w:szCs w:val="21"/>
              </w:rPr>
            </w:pPr>
            <w:r>
              <w:rPr>
                <w:rFonts w:cs="宋体" w:asciiTheme="minorEastAsia" w:hAnsiTheme="minorEastAsia"/>
                <w:b/>
                <w:kern w:val="0"/>
                <w:szCs w:val="21"/>
              </w:rPr>
              <w:t>(5)未按规定向买受人明示《商品房买卖合同示范文本》;</w:t>
            </w:r>
          </w:p>
          <w:p>
            <w:pPr>
              <w:autoSpaceDE w:val="0"/>
              <w:autoSpaceDN w:val="0"/>
              <w:adjustRightInd w:val="0"/>
              <w:spacing w:line="300" w:lineRule="exact"/>
              <w:rPr>
                <w:rFonts w:cs="宋体" w:asciiTheme="minorEastAsia" w:hAnsiTheme="minorEastAsia"/>
                <w:b/>
                <w:kern w:val="0"/>
                <w:szCs w:val="21"/>
              </w:rPr>
            </w:pPr>
            <w:r>
              <w:rPr>
                <w:rFonts w:cs="宋体" w:asciiTheme="minorEastAsia" w:hAnsiTheme="minorEastAsia"/>
                <w:b/>
                <w:kern w:val="0"/>
                <w:szCs w:val="21"/>
              </w:rPr>
              <w:t>(6)未按照规定在商品房现售前将房地产开发项目手册及符合商品房现售条件的有关证明文件报送房地产开发主管部门备案；</w:t>
            </w:r>
          </w:p>
          <w:p>
            <w:pPr>
              <w:autoSpaceDE w:val="0"/>
              <w:autoSpaceDN w:val="0"/>
              <w:adjustRightInd w:val="0"/>
              <w:spacing w:line="300" w:lineRule="exact"/>
              <w:ind w:right="-105" w:rightChars="-50"/>
              <w:jc w:val="left"/>
              <w:rPr>
                <w:rFonts w:cs="宋体" w:asciiTheme="minorEastAsia" w:hAnsiTheme="minorEastAsia"/>
                <w:b/>
                <w:kern w:val="0"/>
                <w:szCs w:val="21"/>
              </w:rPr>
            </w:pPr>
            <w:r>
              <w:rPr>
                <w:rFonts w:cs="宋体" w:asciiTheme="minorEastAsia" w:hAnsiTheme="minorEastAsia"/>
                <w:b/>
                <w:kern w:val="0"/>
                <w:szCs w:val="21"/>
              </w:rPr>
              <w:t>(7)采取售后包租或者变相售后包租方式销售未竣工商品房；</w:t>
            </w:r>
          </w:p>
          <w:p>
            <w:pPr>
              <w:autoSpaceDE w:val="0"/>
              <w:autoSpaceDN w:val="0"/>
              <w:adjustRightInd w:val="0"/>
              <w:spacing w:line="300" w:lineRule="exact"/>
              <w:jc w:val="left"/>
              <w:rPr>
                <w:rFonts w:cs="宋体" w:asciiTheme="minorEastAsia" w:hAnsiTheme="minorEastAsia"/>
                <w:b/>
                <w:kern w:val="0"/>
                <w:szCs w:val="21"/>
              </w:rPr>
            </w:pPr>
            <w:r>
              <w:rPr>
                <w:rFonts w:cs="宋体" w:asciiTheme="minorEastAsia" w:hAnsiTheme="minorEastAsia"/>
                <w:b/>
                <w:kern w:val="0"/>
                <w:szCs w:val="21"/>
              </w:rPr>
              <w:t>(8)经确认存在捂盘惜售或者变相囤积房源行为；</w:t>
            </w:r>
          </w:p>
          <w:p>
            <w:pPr>
              <w:autoSpaceDE w:val="0"/>
              <w:autoSpaceDN w:val="0"/>
              <w:adjustRightInd w:val="0"/>
              <w:spacing w:line="300" w:lineRule="exact"/>
              <w:rPr>
                <w:rFonts w:cs="宋体" w:asciiTheme="minorEastAsia" w:hAnsiTheme="minorEastAsia"/>
                <w:b/>
                <w:kern w:val="0"/>
                <w:szCs w:val="21"/>
              </w:rPr>
            </w:pPr>
            <w:r>
              <w:rPr>
                <w:rFonts w:cs="宋体" w:asciiTheme="minorEastAsia" w:hAnsiTheme="minorEastAsia"/>
                <w:b/>
                <w:kern w:val="0"/>
                <w:szCs w:val="21"/>
              </w:rPr>
              <w:t>(9)售房过程中雇佣人员冒充购房者制造紧张气氛的，或发布虚假供应或库存信息；</w:t>
            </w:r>
          </w:p>
          <w:p>
            <w:pPr>
              <w:autoSpaceDE w:val="0"/>
              <w:autoSpaceDN w:val="0"/>
              <w:adjustRightInd w:val="0"/>
              <w:spacing w:line="300" w:lineRule="exact"/>
              <w:rPr>
                <w:rFonts w:cs="宋体" w:asciiTheme="minorEastAsia" w:hAnsiTheme="minorEastAsia"/>
                <w:b/>
                <w:kern w:val="0"/>
                <w:szCs w:val="21"/>
              </w:rPr>
            </w:pPr>
            <w:r>
              <w:rPr>
                <w:rFonts w:cs="宋体" w:asciiTheme="minorEastAsia" w:hAnsiTheme="minorEastAsia"/>
                <w:b/>
                <w:kern w:val="0"/>
                <w:szCs w:val="21"/>
              </w:rPr>
              <w:t>(10)不符合商品房销售条件，以认购、预订、排号、发卡等方式向买受人收取或者变相收取定金、预订款等费用，借机抬高价格；</w:t>
            </w:r>
          </w:p>
          <w:p>
            <w:pPr>
              <w:autoSpaceDE w:val="0"/>
              <w:autoSpaceDN w:val="0"/>
              <w:adjustRightInd w:val="0"/>
              <w:spacing w:line="300" w:lineRule="exact"/>
              <w:ind w:right="-105" w:rightChars="-50"/>
              <w:rPr>
                <w:rFonts w:cs="宋体" w:asciiTheme="minorEastAsia" w:hAnsiTheme="minorEastAsia"/>
                <w:b/>
                <w:kern w:val="0"/>
                <w:szCs w:val="21"/>
              </w:rPr>
            </w:pPr>
            <w:r>
              <w:rPr>
                <w:rFonts w:cs="宋体" w:asciiTheme="minorEastAsia" w:hAnsiTheme="minorEastAsia"/>
                <w:b/>
                <w:kern w:val="0"/>
                <w:szCs w:val="21"/>
              </w:rPr>
              <w:t>(11)通过捏造或者散布涨价信息等方式恶意炒作、哄抬房价；</w:t>
            </w:r>
          </w:p>
          <w:p>
            <w:pPr>
              <w:autoSpaceDE w:val="0"/>
              <w:autoSpaceDN w:val="0"/>
              <w:adjustRightInd w:val="0"/>
              <w:spacing w:line="300" w:lineRule="exact"/>
              <w:jc w:val="left"/>
              <w:rPr>
                <w:rFonts w:cs="宋体" w:asciiTheme="minorEastAsia" w:hAnsiTheme="minorEastAsia"/>
                <w:b/>
                <w:kern w:val="0"/>
                <w:szCs w:val="21"/>
              </w:rPr>
            </w:pPr>
            <w:r>
              <w:rPr>
                <w:rFonts w:cs="宋体" w:asciiTheme="minorEastAsia" w:hAnsiTheme="minorEastAsia"/>
                <w:b/>
                <w:kern w:val="0"/>
                <w:szCs w:val="21"/>
              </w:rPr>
              <w:t>(12)商品房销售不予明码标价，在标价之外加价出售房屋或者收取未标明的费用；</w:t>
            </w:r>
          </w:p>
          <w:p>
            <w:pPr>
              <w:autoSpaceDE w:val="0"/>
              <w:autoSpaceDN w:val="0"/>
              <w:adjustRightInd w:val="0"/>
              <w:spacing w:line="300" w:lineRule="exact"/>
              <w:jc w:val="left"/>
              <w:rPr>
                <w:rFonts w:cs="宋体" w:asciiTheme="minorEastAsia" w:hAnsiTheme="minorEastAsia"/>
                <w:b/>
                <w:kern w:val="0"/>
                <w:szCs w:val="21"/>
              </w:rPr>
            </w:pPr>
            <w:r>
              <w:rPr>
                <w:rFonts w:cs="宋体" w:asciiTheme="minorEastAsia" w:hAnsiTheme="minorEastAsia"/>
                <w:b/>
                <w:kern w:val="0"/>
                <w:szCs w:val="21"/>
              </w:rPr>
              <w:t>(13)以捆绑搭售或者附加条件等限定方式，迫使购房人接受商品或者服务价格；</w:t>
            </w:r>
          </w:p>
          <w:p>
            <w:pPr>
              <w:autoSpaceDE w:val="0"/>
              <w:autoSpaceDN w:val="0"/>
              <w:adjustRightInd w:val="0"/>
              <w:spacing w:line="300" w:lineRule="exact"/>
              <w:rPr>
                <w:rFonts w:cs="宋体" w:asciiTheme="minorEastAsia" w:hAnsiTheme="minorEastAsia"/>
                <w:b/>
                <w:kern w:val="0"/>
                <w:szCs w:val="21"/>
              </w:rPr>
            </w:pPr>
            <w:r>
              <w:rPr>
                <w:rFonts w:cs="宋体" w:asciiTheme="minorEastAsia" w:hAnsiTheme="minorEastAsia"/>
                <w:b/>
                <w:kern w:val="0"/>
                <w:szCs w:val="21"/>
              </w:rPr>
              <w:t>(14)将已作为商品房销售合同标的物的商品房再销售给他人。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5" w:hRule="atLeast"/>
          <w:jc w:val="center"/>
        </w:trPr>
        <w:tc>
          <w:tcPr>
            <w:tcW w:w="1301" w:type="dxa"/>
            <w:vMerge w:val="continue"/>
          </w:tcPr>
          <w:p>
            <w:pPr>
              <w:autoSpaceDE w:val="0"/>
              <w:autoSpaceDN w:val="0"/>
              <w:adjustRightInd w:val="0"/>
              <w:spacing w:line="300" w:lineRule="exact"/>
              <w:jc w:val="center"/>
              <w:rPr>
                <w:rFonts w:cs="宋体" w:asciiTheme="minorEastAsia" w:hAnsiTheme="minorEastAsia"/>
                <w:b/>
                <w:bCs/>
                <w:kern w:val="0"/>
                <w:szCs w:val="21"/>
              </w:rPr>
            </w:pPr>
          </w:p>
        </w:tc>
        <w:tc>
          <w:tcPr>
            <w:tcW w:w="1276" w:type="dxa"/>
            <w:vMerge w:val="continue"/>
            <w:vAlign w:val="center"/>
          </w:tcPr>
          <w:p>
            <w:pPr>
              <w:autoSpaceDE w:val="0"/>
              <w:autoSpaceDN w:val="0"/>
              <w:adjustRightInd w:val="0"/>
              <w:spacing w:line="300" w:lineRule="exact"/>
              <w:jc w:val="center"/>
              <w:rPr>
                <w:rFonts w:cs="宋体" w:asciiTheme="minorEastAsia" w:hAnsiTheme="minorEastAsia"/>
                <w:b/>
                <w:kern w:val="0"/>
                <w:szCs w:val="21"/>
              </w:rPr>
            </w:pPr>
          </w:p>
        </w:tc>
        <w:tc>
          <w:tcPr>
            <w:tcW w:w="1256" w:type="dxa"/>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2.3.3</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合同履约信用</w:t>
            </w:r>
          </w:p>
        </w:tc>
        <w:tc>
          <w:tcPr>
            <w:tcW w:w="1011" w:type="dxa"/>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6分</w:t>
            </w:r>
          </w:p>
        </w:tc>
        <w:tc>
          <w:tcPr>
            <w:tcW w:w="4060" w:type="dxa"/>
            <w:vAlign w:val="center"/>
          </w:tcPr>
          <w:p>
            <w:pPr>
              <w:autoSpaceDE w:val="0"/>
              <w:autoSpaceDN w:val="0"/>
              <w:adjustRightInd w:val="0"/>
              <w:spacing w:line="300" w:lineRule="exact"/>
              <w:jc w:val="left"/>
              <w:rPr>
                <w:rFonts w:cs="宋体" w:asciiTheme="minorEastAsia" w:hAnsiTheme="minorEastAsia"/>
                <w:b/>
                <w:kern w:val="0"/>
                <w:szCs w:val="21"/>
              </w:rPr>
            </w:pPr>
            <w:r>
              <w:rPr>
                <w:rFonts w:hint="eastAsia" w:cs="宋体" w:asciiTheme="minorEastAsia" w:hAnsiTheme="minorEastAsia"/>
                <w:b/>
                <w:kern w:val="0"/>
                <w:szCs w:val="21"/>
              </w:rPr>
              <w:t>评价企业与消费者签订合同及履约情况。企业是否严格按照合同履约，在合同履行过程中，企业是否存在有失公平、欺诈、甩项等不诚信行为。</w:t>
            </w:r>
          </w:p>
        </w:tc>
        <w:tc>
          <w:tcPr>
            <w:tcW w:w="6834" w:type="dxa"/>
            <w:vAlign w:val="center"/>
          </w:tcPr>
          <w:p>
            <w:pPr>
              <w:autoSpaceDE w:val="0"/>
              <w:autoSpaceDN w:val="0"/>
              <w:adjustRightInd w:val="0"/>
              <w:spacing w:line="300" w:lineRule="exact"/>
              <w:rPr>
                <w:rFonts w:cs="宋体" w:asciiTheme="minorEastAsia" w:hAnsiTheme="minorEastAsia"/>
                <w:b/>
                <w:kern w:val="0"/>
                <w:szCs w:val="21"/>
              </w:rPr>
            </w:pPr>
            <w:r>
              <w:rPr>
                <w:rFonts w:hint="eastAsia" w:cs="宋体" w:asciiTheme="minorEastAsia" w:hAnsiTheme="minorEastAsia"/>
                <w:b/>
                <w:kern w:val="0"/>
                <w:szCs w:val="21"/>
              </w:rPr>
              <w:t>企业近三年每项目在预售销售过程中，如出现下列情况，每项扣</w:t>
            </w:r>
            <w:r>
              <w:rPr>
                <w:rFonts w:cs="宋体" w:asciiTheme="minorEastAsia" w:hAnsiTheme="minorEastAsia"/>
                <w:b/>
                <w:kern w:val="0"/>
                <w:szCs w:val="21"/>
              </w:rPr>
              <w:t>0.5分，累计扣满6分，若发生下列3项不同的非诚信行为，2.3.3项得0分；发生下列6项不同行为或发生第(10)项，2.3项得0分：</w:t>
            </w:r>
          </w:p>
          <w:p>
            <w:pPr>
              <w:autoSpaceDE w:val="0"/>
              <w:autoSpaceDN w:val="0"/>
              <w:adjustRightInd w:val="0"/>
              <w:spacing w:line="300" w:lineRule="exact"/>
              <w:rPr>
                <w:rFonts w:cs="宋体" w:asciiTheme="minorEastAsia" w:hAnsiTheme="minorEastAsia"/>
                <w:b/>
                <w:kern w:val="0"/>
                <w:szCs w:val="21"/>
              </w:rPr>
            </w:pPr>
            <w:r>
              <w:rPr>
                <w:rFonts w:cs="宋体" w:asciiTheme="minorEastAsia" w:hAnsiTheme="minorEastAsia"/>
                <w:b/>
                <w:kern w:val="0"/>
                <w:szCs w:val="21"/>
              </w:rPr>
              <w:t>(1)商品房买卖合同及补充约定显失公平；</w:t>
            </w:r>
          </w:p>
          <w:p>
            <w:pPr>
              <w:autoSpaceDE w:val="0"/>
              <w:autoSpaceDN w:val="0"/>
              <w:adjustRightInd w:val="0"/>
              <w:spacing w:line="300" w:lineRule="exact"/>
              <w:ind w:right="-29" w:rightChars="-14"/>
              <w:rPr>
                <w:rFonts w:cs="宋体" w:asciiTheme="minorEastAsia" w:hAnsiTheme="minorEastAsia"/>
                <w:b/>
                <w:kern w:val="0"/>
                <w:szCs w:val="21"/>
              </w:rPr>
            </w:pPr>
            <w:r>
              <w:rPr>
                <w:rFonts w:cs="宋体" w:asciiTheme="minorEastAsia" w:hAnsiTheme="minorEastAsia"/>
                <w:b/>
                <w:kern w:val="0"/>
                <w:szCs w:val="21"/>
              </w:rPr>
              <w:t>(2)签订商品房买卖合同及其补充协议时，未采取合理方式提请房屋买受人注意免除或者限制其责任的条款；</w:t>
            </w:r>
          </w:p>
          <w:p>
            <w:pPr>
              <w:autoSpaceDE w:val="0"/>
              <w:autoSpaceDN w:val="0"/>
              <w:adjustRightInd w:val="0"/>
              <w:spacing w:line="300" w:lineRule="exact"/>
              <w:rPr>
                <w:rFonts w:cs="宋体" w:asciiTheme="minorEastAsia" w:hAnsiTheme="minorEastAsia"/>
                <w:b/>
                <w:kern w:val="0"/>
                <w:szCs w:val="21"/>
              </w:rPr>
            </w:pPr>
            <w:r>
              <w:rPr>
                <w:rFonts w:cs="宋体" w:asciiTheme="minorEastAsia" w:hAnsiTheme="minorEastAsia"/>
                <w:b/>
                <w:kern w:val="0"/>
                <w:szCs w:val="21"/>
              </w:rPr>
              <w:t>(3)未按规定办理商品房网上签约和预售登记备案；</w:t>
            </w:r>
          </w:p>
          <w:p>
            <w:pPr>
              <w:autoSpaceDE w:val="0"/>
              <w:autoSpaceDN w:val="0"/>
              <w:adjustRightInd w:val="0"/>
              <w:spacing w:line="300" w:lineRule="exact"/>
              <w:rPr>
                <w:rFonts w:cs="宋体" w:asciiTheme="minorEastAsia" w:hAnsiTheme="minorEastAsia"/>
                <w:b/>
                <w:kern w:val="0"/>
                <w:szCs w:val="21"/>
              </w:rPr>
            </w:pPr>
            <w:r>
              <w:rPr>
                <w:rFonts w:cs="宋体" w:asciiTheme="minorEastAsia" w:hAnsiTheme="minorEastAsia"/>
                <w:b/>
                <w:kern w:val="0"/>
                <w:szCs w:val="21"/>
              </w:rPr>
              <w:t>(4)企业延迟交房，且不按合同支付买房人延迟交房补偿；</w:t>
            </w:r>
          </w:p>
          <w:p>
            <w:pPr>
              <w:autoSpaceDE w:val="0"/>
              <w:autoSpaceDN w:val="0"/>
              <w:adjustRightInd w:val="0"/>
              <w:spacing w:line="300" w:lineRule="exact"/>
              <w:rPr>
                <w:rFonts w:cs="宋体" w:asciiTheme="minorEastAsia" w:hAnsiTheme="minorEastAsia"/>
                <w:b/>
                <w:kern w:val="0"/>
                <w:szCs w:val="21"/>
              </w:rPr>
            </w:pPr>
            <w:r>
              <w:rPr>
                <w:rFonts w:cs="宋体" w:asciiTheme="minorEastAsia" w:hAnsiTheme="minorEastAsia"/>
                <w:b/>
                <w:kern w:val="0"/>
                <w:szCs w:val="21"/>
              </w:rPr>
              <w:t>(5)企业延迟为买受人办理房屋所有权证书，且不按合同支付买房人延持办理房地产产权证补偿；</w:t>
            </w:r>
          </w:p>
          <w:p>
            <w:pPr>
              <w:autoSpaceDE w:val="0"/>
              <w:autoSpaceDN w:val="0"/>
              <w:adjustRightInd w:val="0"/>
              <w:spacing w:line="300" w:lineRule="exact"/>
              <w:rPr>
                <w:rFonts w:cs="宋体" w:asciiTheme="minorEastAsia" w:hAnsiTheme="minorEastAsia"/>
                <w:b/>
                <w:kern w:val="0"/>
                <w:szCs w:val="21"/>
              </w:rPr>
            </w:pPr>
            <w:r>
              <w:rPr>
                <w:rFonts w:cs="宋体" w:asciiTheme="minorEastAsia" w:hAnsiTheme="minorEastAsia"/>
                <w:b/>
                <w:kern w:val="0"/>
                <w:szCs w:val="21"/>
              </w:rPr>
              <w:t>(6)交付物业时，项目有甩项，或仍使用临时水电、或住宅区配套设施不具备交付使用条件；</w:t>
            </w:r>
          </w:p>
          <w:p>
            <w:pPr>
              <w:autoSpaceDE w:val="0"/>
              <w:autoSpaceDN w:val="0"/>
              <w:adjustRightInd w:val="0"/>
              <w:spacing w:line="300" w:lineRule="exact"/>
              <w:jc w:val="left"/>
              <w:rPr>
                <w:rFonts w:cs="宋体" w:asciiTheme="minorEastAsia" w:hAnsiTheme="minorEastAsia"/>
                <w:b/>
                <w:kern w:val="0"/>
                <w:szCs w:val="21"/>
              </w:rPr>
            </w:pPr>
            <w:r>
              <w:rPr>
                <w:rFonts w:cs="宋体" w:asciiTheme="minorEastAsia" w:hAnsiTheme="minorEastAsia"/>
                <w:b/>
                <w:kern w:val="0"/>
                <w:szCs w:val="21"/>
              </w:rPr>
              <w:t>(7)未经房屋竣工验收或验收不合格，擅自将房屋交付使用；</w:t>
            </w:r>
          </w:p>
          <w:p>
            <w:pPr>
              <w:autoSpaceDE w:val="0"/>
              <w:autoSpaceDN w:val="0"/>
              <w:adjustRightInd w:val="0"/>
              <w:spacing w:line="300" w:lineRule="exact"/>
              <w:jc w:val="left"/>
              <w:rPr>
                <w:rFonts w:cs="宋体" w:asciiTheme="minorEastAsia" w:hAnsiTheme="minorEastAsia"/>
                <w:b/>
                <w:kern w:val="0"/>
                <w:szCs w:val="21"/>
              </w:rPr>
            </w:pPr>
            <w:r>
              <w:rPr>
                <w:rFonts w:cs="宋体" w:asciiTheme="minorEastAsia" w:hAnsiTheme="minorEastAsia"/>
                <w:b/>
                <w:kern w:val="0"/>
                <w:szCs w:val="21"/>
              </w:rPr>
              <w:t>(8)在交付住宅物业时，拒不交付《住宅质量保证书》和《住宅使用说明书》；</w:t>
            </w:r>
          </w:p>
          <w:p>
            <w:pPr>
              <w:autoSpaceDE w:val="0"/>
              <w:autoSpaceDN w:val="0"/>
              <w:adjustRightInd w:val="0"/>
              <w:spacing w:line="300" w:lineRule="exact"/>
              <w:jc w:val="left"/>
              <w:rPr>
                <w:rFonts w:cs="宋体" w:asciiTheme="minorEastAsia" w:hAnsiTheme="minorEastAsia"/>
                <w:b/>
                <w:kern w:val="0"/>
                <w:szCs w:val="21"/>
              </w:rPr>
            </w:pPr>
            <w:r>
              <w:rPr>
                <w:rFonts w:cs="宋体" w:asciiTheme="minorEastAsia" w:hAnsiTheme="minorEastAsia"/>
                <w:b/>
                <w:kern w:val="0"/>
                <w:szCs w:val="21"/>
              </w:rPr>
              <w:t>(9)未按规定及时缴存房屋专项维修资金；</w:t>
            </w:r>
          </w:p>
          <w:p>
            <w:pPr>
              <w:autoSpaceDE w:val="0"/>
              <w:autoSpaceDN w:val="0"/>
              <w:adjustRightInd w:val="0"/>
              <w:spacing w:line="300" w:lineRule="exact"/>
              <w:jc w:val="left"/>
              <w:rPr>
                <w:rFonts w:cs="宋体" w:asciiTheme="minorEastAsia" w:hAnsiTheme="minorEastAsia"/>
                <w:b/>
                <w:kern w:val="0"/>
                <w:szCs w:val="21"/>
              </w:rPr>
            </w:pPr>
            <w:r>
              <w:rPr>
                <w:rFonts w:cs="宋体" w:asciiTheme="minorEastAsia" w:hAnsiTheme="minorEastAsia"/>
                <w:b/>
                <w:kern w:val="0"/>
                <w:szCs w:val="21"/>
              </w:rPr>
              <w:t>(10)擅自挪用住房专项维修资金；</w:t>
            </w:r>
          </w:p>
          <w:p>
            <w:pPr>
              <w:autoSpaceDE w:val="0"/>
              <w:autoSpaceDN w:val="0"/>
              <w:adjustRightInd w:val="0"/>
              <w:spacing w:line="300" w:lineRule="exact"/>
              <w:jc w:val="left"/>
              <w:rPr>
                <w:rFonts w:cs="宋体" w:asciiTheme="minorEastAsia" w:hAnsiTheme="minorEastAsia"/>
                <w:b/>
                <w:kern w:val="0"/>
                <w:szCs w:val="21"/>
              </w:rPr>
            </w:pPr>
            <w:r>
              <w:rPr>
                <w:rFonts w:cs="宋体" w:asciiTheme="minorEastAsia" w:hAnsiTheme="minorEastAsia"/>
                <w:b/>
                <w:kern w:val="0"/>
                <w:szCs w:val="21"/>
              </w:rPr>
              <w:t>(11)未按规定承担房屋建筑工程质量保修责任；</w:t>
            </w:r>
          </w:p>
          <w:p>
            <w:pPr>
              <w:autoSpaceDE w:val="0"/>
              <w:autoSpaceDN w:val="0"/>
              <w:adjustRightInd w:val="0"/>
              <w:spacing w:line="300" w:lineRule="exact"/>
              <w:jc w:val="left"/>
              <w:rPr>
                <w:rFonts w:cs="宋体" w:asciiTheme="minorEastAsia" w:hAnsiTheme="minorEastAsia"/>
                <w:b/>
                <w:kern w:val="0"/>
                <w:szCs w:val="21"/>
              </w:rPr>
            </w:pPr>
            <w:r>
              <w:rPr>
                <w:rFonts w:cs="宋体" w:asciiTheme="minorEastAsia" w:hAnsiTheme="minorEastAsia"/>
                <w:b/>
                <w:kern w:val="0"/>
                <w:szCs w:val="21"/>
              </w:rPr>
              <w:t>(12)商品房交付后，经工程质量监督单位复核属实的质量问题，不予妥善处理；</w:t>
            </w:r>
          </w:p>
          <w:p>
            <w:pPr>
              <w:autoSpaceDE w:val="0"/>
              <w:autoSpaceDN w:val="0"/>
              <w:adjustRightInd w:val="0"/>
              <w:spacing w:line="300" w:lineRule="exact"/>
              <w:jc w:val="left"/>
              <w:rPr>
                <w:rFonts w:cs="宋体" w:asciiTheme="minorEastAsia" w:hAnsiTheme="minorEastAsia"/>
                <w:b/>
                <w:kern w:val="0"/>
                <w:szCs w:val="21"/>
              </w:rPr>
            </w:pPr>
            <w:r>
              <w:rPr>
                <w:rFonts w:cs="宋体" w:asciiTheme="minorEastAsia" w:hAnsiTheme="minorEastAsia"/>
                <w:b/>
                <w:kern w:val="0"/>
                <w:szCs w:val="21"/>
              </w:rPr>
              <w:t>(13)交付物业时，项目标的物实际与原设计不符，或与销售时承诺项不符的；</w:t>
            </w:r>
          </w:p>
          <w:p>
            <w:pPr>
              <w:autoSpaceDE w:val="0"/>
              <w:autoSpaceDN w:val="0"/>
              <w:adjustRightInd w:val="0"/>
              <w:spacing w:line="300" w:lineRule="exact"/>
              <w:jc w:val="left"/>
              <w:rPr>
                <w:rFonts w:cs="宋体" w:asciiTheme="minorEastAsia" w:hAnsiTheme="minorEastAsia"/>
                <w:b/>
                <w:kern w:val="0"/>
                <w:szCs w:val="21"/>
              </w:rPr>
            </w:pPr>
            <w:r>
              <w:rPr>
                <w:rFonts w:cs="宋体" w:asciiTheme="minorEastAsia" w:hAnsiTheme="minorEastAsia"/>
                <w:b/>
                <w:kern w:val="0"/>
                <w:szCs w:val="21"/>
              </w:rPr>
              <w:t>(14)房产地下车位只售不租的或变相只售不租（故意提高租赁价格的）行为，导致小区车辆管理难，影响小区公共秩序的；</w:t>
            </w:r>
          </w:p>
          <w:p>
            <w:pPr>
              <w:autoSpaceDE w:val="0"/>
              <w:autoSpaceDN w:val="0"/>
              <w:adjustRightInd w:val="0"/>
              <w:spacing w:line="300" w:lineRule="exact"/>
              <w:jc w:val="left"/>
              <w:rPr>
                <w:rFonts w:cs="宋体" w:asciiTheme="minorEastAsia" w:hAnsiTheme="minorEastAsia"/>
                <w:b/>
                <w:kern w:val="0"/>
                <w:szCs w:val="21"/>
              </w:rPr>
            </w:pPr>
            <w:r>
              <w:rPr>
                <w:rFonts w:cs="宋体" w:asciiTheme="minorEastAsia" w:hAnsiTheme="minorEastAsia"/>
                <w:b/>
                <w:kern w:val="0"/>
                <w:szCs w:val="21"/>
              </w:rPr>
              <w:t>(15)为提高售房率进行虚假宣传或承诺业主后期部分违章搭建的处理；</w:t>
            </w:r>
          </w:p>
          <w:p>
            <w:pPr>
              <w:autoSpaceDE w:val="0"/>
              <w:autoSpaceDN w:val="0"/>
              <w:adjustRightInd w:val="0"/>
              <w:spacing w:line="300" w:lineRule="exact"/>
              <w:jc w:val="left"/>
              <w:rPr>
                <w:rFonts w:cs="宋体" w:asciiTheme="minorEastAsia" w:hAnsiTheme="minorEastAsia"/>
                <w:b/>
                <w:kern w:val="0"/>
                <w:szCs w:val="21"/>
              </w:rPr>
            </w:pPr>
            <w:r>
              <w:rPr>
                <w:rFonts w:cs="宋体" w:asciiTheme="minorEastAsia" w:hAnsiTheme="minorEastAsia"/>
                <w:b/>
                <w:kern w:val="0"/>
                <w:szCs w:val="21"/>
              </w:rPr>
              <w:t>(16)由于设计缺陷导致安全隐患，发现后拒不整改的。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1" w:type="dxa"/>
            <w:vMerge w:val="continue"/>
            <w:vAlign w:val="center"/>
          </w:tcPr>
          <w:p>
            <w:pPr>
              <w:autoSpaceDE w:val="0"/>
              <w:autoSpaceDN w:val="0"/>
              <w:adjustRightInd w:val="0"/>
              <w:spacing w:line="300" w:lineRule="exact"/>
              <w:jc w:val="center"/>
              <w:rPr>
                <w:rFonts w:cs="宋体" w:asciiTheme="minorEastAsia" w:hAnsiTheme="minorEastAsia"/>
                <w:b/>
                <w:bCs/>
                <w:kern w:val="0"/>
                <w:szCs w:val="21"/>
              </w:rPr>
            </w:pPr>
          </w:p>
        </w:tc>
        <w:tc>
          <w:tcPr>
            <w:tcW w:w="1276" w:type="dxa"/>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2.4</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企业前期</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物业信用</w:t>
            </w:r>
          </w:p>
          <w:p>
            <w:pPr>
              <w:autoSpaceDE w:val="0"/>
              <w:autoSpaceDN w:val="0"/>
              <w:adjustRightInd w:val="0"/>
              <w:spacing w:line="300" w:lineRule="exact"/>
              <w:jc w:val="center"/>
              <w:rPr>
                <w:rFonts w:cs="宋体" w:asciiTheme="minorEastAsia" w:hAnsiTheme="minorEastAsia"/>
                <w:b/>
                <w:bCs/>
                <w:kern w:val="0"/>
                <w:szCs w:val="21"/>
              </w:rPr>
            </w:pPr>
            <w:r>
              <w:rPr>
                <w:rFonts w:hint="eastAsia" w:cs="宋体" w:asciiTheme="minorEastAsia" w:hAnsiTheme="minorEastAsia"/>
                <w:b/>
                <w:kern w:val="0"/>
                <w:szCs w:val="21"/>
              </w:rPr>
              <w:t>（</w:t>
            </w:r>
            <w:r>
              <w:rPr>
                <w:rFonts w:cs="宋体" w:asciiTheme="minorEastAsia" w:hAnsiTheme="minorEastAsia"/>
                <w:b/>
                <w:kern w:val="0"/>
                <w:szCs w:val="21"/>
              </w:rPr>
              <w:t>7分）</w:t>
            </w:r>
          </w:p>
        </w:tc>
        <w:tc>
          <w:tcPr>
            <w:tcW w:w="1256" w:type="dxa"/>
            <w:vAlign w:val="center"/>
          </w:tcPr>
          <w:p>
            <w:pPr>
              <w:autoSpaceDE w:val="0"/>
              <w:autoSpaceDN w:val="0"/>
              <w:adjustRightInd w:val="0"/>
              <w:spacing w:line="300" w:lineRule="exact"/>
              <w:jc w:val="right"/>
              <w:rPr>
                <w:rFonts w:cs="宋体" w:asciiTheme="minorEastAsia" w:hAnsiTheme="minorEastAsia"/>
                <w:b/>
                <w:kern w:val="0"/>
                <w:szCs w:val="21"/>
              </w:rPr>
            </w:pPr>
          </w:p>
        </w:tc>
        <w:tc>
          <w:tcPr>
            <w:tcW w:w="1011" w:type="dxa"/>
            <w:vAlign w:val="center"/>
          </w:tcPr>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7分</w:t>
            </w:r>
          </w:p>
        </w:tc>
        <w:tc>
          <w:tcPr>
            <w:tcW w:w="4060" w:type="dxa"/>
            <w:vAlign w:val="center"/>
          </w:tcPr>
          <w:p>
            <w:pPr>
              <w:autoSpaceDE w:val="0"/>
              <w:autoSpaceDN w:val="0"/>
              <w:adjustRightInd w:val="0"/>
              <w:spacing w:line="300" w:lineRule="exact"/>
              <w:jc w:val="left"/>
              <w:rPr>
                <w:rFonts w:cs="宋体" w:asciiTheme="minorEastAsia" w:hAnsiTheme="minorEastAsia"/>
                <w:b/>
                <w:kern w:val="0"/>
                <w:szCs w:val="21"/>
              </w:rPr>
            </w:pPr>
            <w:r>
              <w:rPr>
                <w:rFonts w:hint="eastAsia" w:cs="宋体" w:asciiTheme="minorEastAsia" w:hAnsiTheme="minorEastAsia"/>
                <w:b/>
                <w:kern w:val="0"/>
                <w:szCs w:val="21"/>
              </w:rPr>
              <w:t>评价企业在前期物业管理中，是否按有关规定履行相应责任。</w:t>
            </w:r>
          </w:p>
        </w:tc>
        <w:tc>
          <w:tcPr>
            <w:tcW w:w="6834" w:type="dxa"/>
            <w:vAlign w:val="center"/>
          </w:tcPr>
          <w:p>
            <w:pPr>
              <w:autoSpaceDE w:val="0"/>
              <w:autoSpaceDN w:val="0"/>
              <w:adjustRightInd w:val="0"/>
              <w:spacing w:line="300" w:lineRule="exact"/>
              <w:rPr>
                <w:rFonts w:cs="宋体" w:asciiTheme="minorEastAsia" w:hAnsiTheme="minorEastAsia"/>
                <w:b/>
                <w:kern w:val="0"/>
                <w:szCs w:val="21"/>
              </w:rPr>
            </w:pPr>
            <w:r>
              <w:rPr>
                <w:rFonts w:hint="eastAsia" w:cs="宋体" w:asciiTheme="minorEastAsia" w:hAnsiTheme="minorEastAsia"/>
                <w:b/>
                <w:kern w:val="0"/>
                <w:szCs w:val="21"/>
              </w:rPr>
              <w:t>企业近三年每项目在前期物业管理过程中，出现下列情况，每项扣</w:t>
            </w:r>
            <w:r>
              <w:rPr>
                <w:rFonts w:cs="Times New Roman" w:asciiTheme="minorEastAsia" w:hAnsiTheme="minorEastAsia"/>
                <w:b/>
                <w:kern w:val="0"/>
                <w:szCs w:val="21"/>
              </w:rPr>
              <w:t>0.5</w:t>
            </w:r>
            <w:r>
              <w:rPr>
                <w:rFonts w:hint="eastAsia" w:cs="宋体" w:asciiTheme="minorEastAsia" w:hAnsiTheme="minorEastAsia"/>
                <w:b/>
                <w:kern w:val="0"/>
                <w:szCs w:val="21"/>
              </w:rPr>
              <w:t>分，累计扣满</w:t>
            </w:r>
            <w:r>
              <w:rPr>
                <w:rFonts w:cs="Times New Roman" w:asciiTheme="minorEastAsia" w:hAnsiTheme="minorEastAsia"/>
                <w:b/>
                <w:kern w:val="0"/>
                <w:szCs w:val="21"/>
              </w:rPr>
              <w:t>7</w:t>
            </w:r>
            <w:r>
              <w:rPr>
                <w:rFonts w:hint="eastAsia" w:cs="宋体" w:asciiTheme="minorEastAsia" w:hAnsiTheme="minorEastAsia"/>
                <w:b/>
                <w:kern w:val="0"/>
                <w:szCs w:val="21"/>
              </w:rPr>
              <w:t>分，若发生下列</w:t>
            </w:r>
            <w:r>
              <w:rPr>
                <w:rFonts w:cs="Times New Roman" w:asciiTheme="minorEastAsia" w:hAnsiTheme="minorEastAsia"/>
                <w:b/>
                <w:kern w:val="0"/>
                <w:szCs w:val="21"/>
              </w:rPr>
              <w:t>3</w:t>
            </w:r>
            <w:r>
              <w:rPr>
                <w:rFonts w:hint="eastAsia" w:cs="宋体" w:asciiTheme="minorEastAsia" w:hAnsiTheme="minorEastAsia"/>
                <w:b/>
                <w:kern w:val="0"/>
                <w:szCs w:val="21"/>
              </w:rPr>
              <w:t>项行为，</w:t>
            </w:r>
            <w:r>
              <w:rPr>
                <w:rFonts w:cs="Times New Roman" w:asciiTheme="minorEastAsia" w:hAnsiTheme="minorEastAsia"/>
                <w:b/>
                <w:kern w:val="0"/>
                <w:szCs w:val="21"/>
              </w:rPr>
              <w:t>2.4</w:t>
            </w:r>
            <w:r>
              <w:rPr>
                <w:rFonts w:hint="eastAsia" w:cs="宋体" w:asciiTheme="minorEastAsia" w:hAnsiTheme="minorEastAsia"/>
                <w:b/>
                <w:kern w:val="0"/>
                <w:szCs w:val="21"/>
              </w:rPr>
              <w:t>项得</w:t>
            </w:r>
            <w:r>
              <w:rPr>
                <w:rFonts w:cs="宋体" w:asciiTheme="minorEastAsia" w:hAnsiTheme="minorEastAsia"/>
                <w:b/>
                <w:kern w:val="0"/>
                <w:szCs w:val="21"/>
              </w:rPr>
              <w:t>0分：</w:t>
            </w:r>
          </w:p>
          <w:p>
            <w:pPr>
              <w:autoSpaceDE w:val="0"/>
              <w:autoSpaceDN w:val="0"/>
              <w:adjustRightInd w:val="0"/>
              <w:spacing w:line="300" w:lineRule="exact"/>
              <w:rPr>
                <w:rFonts w:cs="宋体" w:asciiTheme="minorEastAsia" w:hAnsiTheme="minorEastAsia"/>
                <w:b/>
                <w:kern w:val="0"/>
                <w:szCs w:val="21"/>
              </w:rPr>
            </w:pPr>
            <w:r>
              <w:rPr>
                <w:rFonts w:cs="Times New Roman" w:asciiTheme="minorEastAsia" w:hAnsiTheme="minorEastAsia"/>
                <w:b/>
                <w:kern w:val="0"/>
                <w:szCs w:val="21"/>
              </w:rPr>
              <w:t>(1</w:t>
            </w:r>
            <w:r>
              <w:rPr>
                <w:rFonts w:cs="宋体" w:asciiTheme="minorEastAsia" w:hAnsiTheme="minorEastAsia"/>
                <w:b/>
                <w:kern w:val="0"/>
                <w:szCs w:val="21"/>
              </w:rPr>
              <w:t>)未按规定在取得商品房销售许可证之前，选聘前期物业服务企业并签订前期物业服务合同；</w:t>
            </w:r>
          </w:p>
          <w:p>
            <w:pPr>
              <w:autoSpaceDE w:val="0"/>
              <w:autoSpaceDN w:val="0"/>
              <w:adjustRightInd w:val="0"/>
              <w:spacing w:line="300" w:lineRule="exact"/>
              <w:rPr>
                <w:rFonts w:cs="宋体" w:asciiTheme="minorEastAsia" w:hAnsiTheme="minorEastAsia"/>
                <w:b/>
                <w:kern w:val="0"/>
                <w:szCs w:val="21"/>
              </w:rPr>
            </w:pPr>
            <w:r>
              <w:rPr>
                <w:rFonts w:cs="Times New Roman" w:asciiTheme="minorEastAsia" w:hAnsiTheme="minorEastAsia"/>
                <w:b/>
                <w:kern w:val="0"/>
                <w:szCs w:val="21"/>
              </w:rPr>
              <w:t>(2</w:t>
            </w:r>
            <w:r>
              <w:rPr>
                <w:rFonts w:cs="宋体" w:asciiTheme="minorEastAsia" w:hAnsiTheme="minorEastAsia"/>
                <w:b/>
                <w:kern w:val="0"/>
                <w:szCs w:val="21"/>
              </w:rPr>
              <w:t>)未按规定办理招标手续选聘前期物业服务企业；</w:t>
            </w:r>
          </w:p>
          <w:p>
            <w:pPr>
              <w:autoSpaceDE w:val="0"/>
              <w:autoSpaceDN w:val="0"/>
              <w:adjustRightInd w:val="0"/>
              <w:spacing w:line="300" w:lineRule="exact"/>
              <w:rPr>
                <w:rFonts w:cs="宋体" w:asciiTheme="minorEastAsia" w:hAnsiTheme="minorEastAsia"/>
                <w:b/>
                <w:kern w:val="0"/>
                <w:szCs w:val="21"/>
              </w:rPr>
            </w:pPr>
            <w:r>
              <w:rPr>
                <w:rFonts w:cs="Times New Roman" w:asciiTheme="minorEastAsia" w:hAnsiTheme="minorEastAsia"/>
                <w:b/>
                <w:kern w:val="0"/>
                <w:szCs w:val="21"/>
              </w:rPr>
              <w:t>(3</w:t>
            </w:r>
            <w:r>
              <w:rPr>
                <w:rFonts w:cs="宋体" w:asciiTheme="minorEastAsia" w:hAnsiTheme="minorEastAsia"/>
                <w:b/>
                <w:kern w:val="0"/>
                <w:szCs w:val="21"/>
              </w:rPr>
              <w:t>)在与物业买受人签订的房屋买卖合同中未包含前期物业服务合同约定的主要内容；</w:t>
            </w:r>
          </w:p>
          <w:p>
            <w:pPr>
              <w:autoSpaceDE w:val="0"/>
              <w:autoSpaceDN w:val="0"/>
              <w:adjustRightInd w:val="0"/>
              <w:spacing w:line="300" w:lineRule="exact"/>
              <w:rPr>
                <w:rFonts w:cs="宋体" w:asciiTheme="minorEastAsia" w:hAnsiTheme="minorEastAsia"/>
                <w:b/>
                <w:kern w:val="0"/>
                <w:szCs w:val="21"/>
              </w:rPr>
            </w:pPr>
            <w:r>
              <w:rPr>
                <w:rFonts w:cs="Times New Roman" w:asciiTheme="minorEastAsia" w:hAnsiTheme="minorEastAsia"/>
                <w:b/>
                <w:kern w:val="0"/>
                <w:szCs w:val="21"/>
              </w:rPr>
              <w:t>(4</w:t>
            </w:r>
            <w:r>
              <w:rPr>
                <w:rFonts w:cs="宋体" w:asciiTheme="minorEastAsia" w:hAnsiTheme="minorEastAsia"/>
                <w:b/>
                <w:kern w:val="0"/>
                <w:szCs w:val="21"/>
              </w:rPr>
              <w:t>)未按规定配置物业管理用房；</w:t>
            </w:r>
          </w:p>
          <w:p>
            <w:pPr>
              <w:autoSpaceDE w:val="0"/>
              <w:autoSpaceDN w:val="0"/>
              <w:adjustRightInd w:val="0"/>
              <w:spacing w:line="300" w:lineRule="exact"/>
              <w:ind w:right="-29" w:rightChars="-14"/>
              <w:rPr>
                <w:rFonts w:cs="宋体" w:asciiTheme="minorEastAsia" w:hAnsiTheme="minorEastAsia"/>
                <w:b/>
                <w:kern w:val="0"/>
                <w:szCs w:val="21"/>
              </w:rPr>
            </w:pPr>
            <w:r>
              <w:rPr>
                <w:rFonts w:cs="Times New Roman" w:asciiTheme="minorEastAsia" w:hAnsiTheme="minorEastAsia"/>
                <w:b/>
                <w:kern w:val="0"/>
                <w:szCs w:val="21"/>
              </w:rPr>
              <w:t>(5</w:t>
            </w:r>
            <w:r>
              <w:rPr>
                <w:rFonts w:cs="宋体" w:asciiTheme="minorEastAsia" w:hAnsiTheme="minorEastAsia"/>
                <w:b/>
                <w:kern w:val="0"/>
                <w:szCs w:val="21"/>
              </w:rPr>
              <w:t>)未按规定向主管部门或行业协会办理相关备案手续；</w:t>
            </w:r>
          </w:p>
          <w:p>
            <w:pPr>
              <w:autoSpaceDE w:val="0"/>
              <w:autoSpaceDN w:val="0"/>
              <w:adjustRightInd w:val="0"/>
              <w:spacing w:line="300" w:lineRule="exact"/>
              <w:rPr>
                <w:rFonts w:cs="宋体" w:asciiTheme="minorEastAsia" w:hAnsiTheme="minorEastAsia"/>
                <w:b/>
                <w:kern w:val="0"/>
                <w:szCs w:val="21"/>
              </w:rPr>
            </w:pPr>
            <w:r>
              <w:rPr>
                <w:rFonts w:cs="Times New Roman" w:asciiTheme="minorEastAsia" w:hAnsiTheme="minorEastAsia"/>
                <w:b/>
                <w:kern w:val="0"/>
                <w:szCs w:val="21"/>
              </w:rPr>
              <w:t>(6</w:t>
            </w:r>
            <w:r>
              <w:rPr>
                <w:rFonts w:cs="宋体" w:asciiTheme="minorEastAsia" w:hAnsiTheme="minorEastAsia"/>
                <w:b/>
                <w:kern w:val="0"/>
                <w:szCs w:val="21"/>
              </w:rPr>
              <w:t>)未按规定与前期物业服务企业办理物业承接验收手续，并移交物业档案资料、物业管理用房，或承接查验未符合标准强行移交；</w:t>
            </w:r>
          </w:p>
          <w:p>
            <w:pPr>
              <w:autoSpaceDE w:val="0"/>
              <w:autoSpaceDN w:val="0"/>
              <w:adjustRightInd w:val="0"/>
              <w:spacing w:line="300" w:lineRule="exact"/>
              <w:rPr>
                <w:rFonts w:cs="Times New Roman" w:asciiTheme="minorEastAsia" w:hAnsiTheme="minorEastAsia"/>
                <w:b/>
                <w:kern w:val="0"/>
                <w:szCs w:val="21"/>
              </w:rPr>
            </w:pPr>
            <w:r>
              <w:rPr>
                <w:rFonts w:cs="Times New Roman" w:asciiTheme="minorEastAsia" w:hAnsiTheme="minorEastAsia"/>
                <w:b/>
                <w:kern w:val="0"/>
                <w:szCs w:val="21"/>
              </w:rPr>
              <w:t>(7</w:t>
            </w:r>
            <w:r>
              <w:rPr>
                <w:rFonts w:cs="宋体" w:asciiTheme="minorEastAsia" w:hAnsiTheme="minorEastAsia"/>
                <w:b/>
                <w:kern w:val="0"/>
                <w:szCs w:val="21"/>
              </w:rPr>
              <w:t>)对首次业主大会的筹建及召开未给予支持；</w:t>
            </w:r>
          </w:p>
          <w:p>
            <w:pPr>
              <w:autoSpaceDE w:val="0"/>
              <w:autoSpaceDN w:val="0"/>
              <w:adjustRightInd w:val="0"/>
              <w:spacing w:line="300" w:lineRule="exact"/>
              <w:rPr>
                <w:rFonts w:cs="宋体" w:asciiTheme="minorEastAsia" w:hAnsiTheme="minorEastAsia"/>
                <w:b/>
                <w:kern w:val="0"/>
                <w:szCs w:val="21"/>
              </w:rPr>
            </w:pPr>
            <w:r>
              <w:rPr>
                <w:rFonts w:cs="Times New Roman" w:asciiTheme="minorEastAsia" w:hAnsiTheme="minorEastAsia"/>
                <w:b/>
                <w:kern w:val="0"/>
                <w:szCs w:val="21"/>
              </w:rPr>
              <w:t>(8)制</w:t>
            </w:r>
            <w:r>
              <w:rPr>
                <w:rFonts w:hint="eastAsia" w:cs="宋体" w:asciiTheme="minorEastAsia" w:hAnsiTheme="minorEastAsia"/>
                <w:b/>
                <w:kern w:val="0"/>
                <w:szCs w:val="21"/>
              </w:rPr>
              <w:t>定的业主临时公约侵害房屋买受人利益；</w:t>
            </w:r>
          </w:p>
          <w:p>
            <w:pPr>
              <w:autoSpaceDE w:val="0"/>
              <w:autoSpaceDN w:val="0"/>
              <w:adjustRightInd w:val="0"/>
              <w:spacing w:line="300" w:lineRule="exact"/>
              <w:rPr>
                <w:rFonts w:cs="宋体" w:asciiTheme="minorEastAsia" w:hAnsiTheme="minorEastAsia"/>
                <w:b/>
                <w:kern w:val="0"/>
                <w:szCs w:val="21"/>
              </w:rPr>
            </w:pPr>
            <w:r>
              <w:rPr>
                <w:rFonts w:cs="Times New Roman" w:asciiTheme="minorEastAsia" w:hAnsiTheme="minorEastAsia"/>
                <w:b/>
                <w:kern w:val="0"/>
                <w:szCs w:val="21"/>
              </w:rPr>
              <w:t>(9)</w:t>
            </w:r>
            <w:r>
              <w:rPr>
                <w:rFonts w:hint="eastAsia" w:cs="Times New Roman" w:asciiTheme="minorEastAsia" w:hAnsiTheme="minorEastAsia"/>
                <w:b/>
                <w:kern w:val="0"/>
                <w:szCs w:val="21"/>
              </w:rPr>
              <w:t>未</w:t>
            </w:r>
            <w:r>
              <w:rPr>
                <w:rFonts w:hint="eastAsia" w:cs="宋体" w:asciiTheme="minorEastAsia" w:hAnsiTheme="minorEastAsia"/>
                <w:b/>
                <w:kern w:val="0"/>
                <w:szCs w:val="21"/>
              </w:rPr>
              <w:t>按前期物业服务合同约定的金额和时间缴纳已竣工但尚未出售或者尚未交付给买受人的物业服务费（含车位物业服务费）；</w:t>
            </w:r>
          </w:p>
          <w:p>
            <w:pPr>
              <w:autoSpaceDE w:val="0"/>
              <w:autoSpaceDN w:val="0"/>
              <w:adjustRightInd w:val="0"/>
              <w:spacing w:line="300" w:lineRule="exact"/>
              <w:jc w:val="left"/>
              <w:rPr>
                <w:rFonts w:cs="Times New Roman" w:asciiTheme="minorEastAsia" w:hAnsiTheme="minorEastAsia"/>
                <w:b/>
                <w:kern w:val="0"/>
                <w:szCs w:val="21"/>
              </w:rPr>
            </w:pPr>
            <w:r>
              <w:rPr>
                <w:rFonts w:cs="Times New Roman" w:asciiTheme="minorEastAsia" w:hAnsiTheme="minorEastAsia"/>
                <w:b/>
                <w:kern w:val="0"/>
                <w:szCs w:val="21"/>
              </w:rPr>
              <w:t>(10)</w:t>
            </w:r>
            <w:r>
              <w:rPr>
                <w:rFonts w:hint="eastAsia" w:cs="宋体" w:asciiTheme="minorEastAsia" w:hAnsiTheme="minorEastAsia"/>
                <w:b/>
                <w:kern w:val="0"/>
                <w:szCs w:val="21"/>
              </w:rPr>
              <w:t>擅自处分属于业主依法享有的物业共用部位、共用设施设备的所有权或者使用权。</w:t>
            </w:r>
          </w:p>
          <w:p>
            <w:pPr>
              <w:autoSpaceDE w:val="0"/>
              <w:autoSpaceDN w:val="0"/>
              <w:adjustRightInd w:val="0"/>
              <w:spacing w:line="300" w:lineRule="exact"/>
              <w:rPr>
                <w:rFonts w:cs="宋体" w:asciiTheme="minorEastAsia" w:hAnsiTheme="minorEastAsia"/>
                <w:b/>
                <w:kern w:val="0"/>
                <w:szCs w:val="21"/>
              </w:rPr>
            </w:pPr>
            <w:r>
              <w:rPr>
                <w:rFonts w:cs="Times New Roman" w:asciiTheme="minorEastAsia" w:hAnsiTheme="minorEastAsia"/>
                <w:b/>
                <w:kern w:val="0"/>
                <w:szCs w:val="21"/>
              </w:rPr>
              <w:t>(11)</w:t>
            </w:r>
            <w:r>
              <w:rPr>
                <w:rFonts w:hint="eastAsia" w:cs="宋体" w:asciiTheme="minorEastAsia" w:hAnsiTheme="minorEastAsia"/>
                <w:b/>
                <w:kern w:val="0"/>
                <w:szCs w:val="21"/>
              </w:rPr>
              <w:t>未在已交付区域和施工未交付区域设置有效封闭隔离。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1" w:type="dxa"/>
            <w:vAlign w:val="center"/>
          </w:tcPr>
          <w:p>
            <w:pPr>
              <w:autoSpaceDE w:val="0"/>
              <w:autoSpaceDN w:val="0"/>
              <w:adjustRightInd w:val="0"/>
              <w:jc w:val="center"/>
              <w:rPr>
                <w:rFonts w:cs="宋体" w:asciiTheme="minorEastAsia" w:hAnsiTheme="minorEastAsia"/>
                <w:b/>
                <w:bCs/>
                <w:kern w:val="0"/>
                <w:szCs w:val="21"/>
              </w:rPr>
            </w:pPr>
            <w:r>
              <w:rPr>
                <w:rFonts w:hint="eastAsia" w:cs="宋体" w:asciiTheme="minorEastAsia" w:hAnsiTheme="minorEastAsia"/>
                <w:b/>
                <w:bCs/>
                <w:kern w:val="0"/>
                <w:szCs w:val="21"/>
              </w:rPr>
              <w:t>一级指标</w:t>
            </w:r>
          </w:p>
        </w:tc>
        <w:tc>
          <w:tcPr>
            <w:tcW w:w="1276" w:type="dxa"/>
            <w:vAlign w:val="center"/>
          </w:tcPr>
          <w:p>
            <w:pPr>
              <w:autoSpaceDE w:val="0"/>
              <w:autoSpaceDN w:val="0"/>
              <w:adjustRightInd w:val="0"/>
              <w:jc w:val="center"/>
              <w:rPr>
                <w:rFonts w:cs="宋体" w:asciiTheme="minorEastAsia" w:hAnsiTheme="minorEastAsia"/>
                <w:b/>
                <w:bCs/>
                <w:kern w:val="0"/>
                <w:szCs w:val="21"/>
              </w:rPr>
            </w:pPr>
            <w:r>
              <w:rPr>
                <w:rFonts w:hint="eastAsia" w:cs="宋体" w:asciiTheme="minorEastAsia" w:hAnsiTheme="minorEastAsia"/>
                <w:b/>
                <w:bCs/>
                <w:kern w:val="0"/>
                <w:szCs w:val="21"/>
              </w:rPr>
              <w:t>二级指标</w:t>
            </w:r>
          </w:p>
        </w:tc>
        <w:tc>
          <w:tcPr>
            <w:tcW w:w="1256" w:type="dxa"/>
            <w:vAlign w:val="center"/>
          </w:tcPr>
          <w:p>
            <w:pPr>
              <w:autoSpaceDE w:val="0"/>
              <w:autoSpaceDN w:val="0"/>
              <w:adjustRightInd w:val="0"/>
              <w:jc w:val="center"/>
              <w:rPr>
                <w:rFonts w:cs="宋体" w:asciiTheme="minorEastAsia" w:hAnsiTheme="minorEastAsia"/>
                <w:b/>
                <w:bCs/>
                <w:kern w:val="0"/>
                <w:szCs w:val="21"/>
              </w:rPr>
            </w:pPr>
            <w:r>
              <w:rPr>
                <w:rFonts w:hint="eastAsia" w:cs="宋体" w:asciiTheme="minorEastAsia" w:hAnsiTheme="minorEastAsia"/>
                <w:b/>
                <w:bCs/>
                <w:kern w:val="0"/>
                <w:szCs w:val="21"/>
              </w:rPr>
              <w:t>三级指标</w:t>
            </w:r>
          </w:p>
        </w:tc>
        <w:tc>
          <w:tcPr>
            <w:tcW w:w="1011" w:type="dxa"/>
            <w:vAlign w:val="center"/>
          </w:tcPr>
          <w:p>
            <w:pPr>
              <w:autoSpaceDE w:val="0"/>
              <w:autoSpaceDN w:val="0"/>
              <w:adjustRightInd w:val="0"/>
              <w:jc w:val="center"/>
              <w:rPr>
                <w:rFonts w:cs="宋体" w:asciiTheme="minorEastAsia" w:hAnsiTheme="minorEastAsia"/>
                <w:b/>
                <w:bCs/>
                <w:kern w:val="0"/>
                <w:szCs w:val="21"/>
              </w:rPr>
            </w:pPr>
            <w:r>
              <w:rPr>
                <w:rFonts w:hint="eastAsia" w:cs="宋体" w:asciiTheme="minorEastAsia" w:hAnsiTheme="minorEastAsia"/>
                <w:b/>
                <w:bCs/>
                <w:kern w:val="0"/>
                <w:szCs w:val="21"/>
              </w:rPr>
              <w:t>分值</w:t>
            </w:r>
          </w:p>
        </w:tc>
        <w:tc>
          <w:tcPr>
            <w:tcW w:w="4060" w:type="dxa"/>
            <w:vAlign w:val="center"/>
          </w:tcPr>
          <w:p>
            <w:pPr>
              <w:autoSpaceDE w:val="0"/>
              <w:autoSpaceDN w:val="0"/>
              <w:adjustRightInd w:val="0"/>
              <w:jc w:val="center"/>
              <w:rPr>
                <w:rFonts w:cs="宋体" w:asciiTheme="minorEastAsia" w:hAnsiTheme="minorEastAsia"/>
                <w:b/>
                <w:bCs/>
                <w:kern w:val="0"/>
                <w:szCs w:val="21"/>
              </w:rPr>
            </w:pPr>
            <w:r>
              <w:rPr>
                <w:rFonts w:hint="eastAsia" w:cs="宋体" w:asciiTheme="minorEastAsia" w:hAnsiTheme="minorEastAsia"/>
                <w:b/>
                <w:bCs/>
                <w:kern w:val="0"/>
                <w:szCs w:val="21"/>
              </w:rPr>
              <w:t>指标说明</w:t>
            </w:r>
          </w:p>
        </w:tc>
        <w:tc>
          <w:tcPr>
            <w:tcW w:w="6834" w:type="dxa"/>
            <w:vAlign w:val="center"/>
          </w:tcPr>
          <w:p>
            <w:pPr>
              <w:autoSpaceDE w:val="0"/>
              <w:autoSpaceDN w:val="0"/>
              <w:adjustRightInd w:val="0"/>
              <w:jc w:val="center"/>
              <w:rPr>
                <w:rFonts w:cs="宋体" w:asciiTheme="minorEastAsia" w:hAnsiTheme="minorEastAsia"/>
                <w:b/>
                <w:bCs/>
                <w:kern w:val="0"/>
                <w:szCs w:val="21"/>
              </w:rPr>
            </w:pPr>
            <w:r>
              <w:rPr>
                <w:rFonts w:hint="eastAsia" w:cs="宋体" w:asciiTheme="minorEastAsia" w:hAnsiTheme="minorEastAsia"/>
                <w:b/>
                <w:bCs/>
                <w:kern w:val="0"/>
                <w:szCs w:val="21"/>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1" w:type="dxa"/>
            <w:vMerge w:val="restart"/>
            <w:vAlign w:val="center"/>
          </w:tcPr>
          <w:p>
            <w:pPr>
              <w:autoSpaceDE w:val="0"/>
              <w:autoSpaceDN w:val="0"/>
              <w:adjustRightInd w:val="0"/>
              <w:spacing w:line="300" w:lineRule="exact"/>
              <w:jc w:val="center"/>
              <w:rPr>
                <w:rFonts w:cs="宋体" w:asciiTheme="minorEastAsia" w:hAnsiTheme="minorEastAsia"/>
                <w:b/>
                <w:bCs/>
                <w:kern w:val="0"/>
                <w:szCs w:val="21"/>
              </w:rPr>
            </w:pPr>
            <w:r>
              <w:rPr>
                <w:rFonts w:cs="宋体" w:asciiTheme="minorEastAsia" w:hAnsiTheme="minorEastAsia"/>
                <w:b/>
                <w:bCs/>
                <w:kern w:val="0"/>
                <w:szCs w:val="21"/>
              </w:rPr>
              <w:t>3.</w:t>
            </w:r>
          </w:p>
          <w:p>
            <w:pPr>
              <w:autoSpaceDE w:val="0"/>
              <w:autoSpaceDN w:val="0"/>
              <w:adjustRightInd w:val="0"/>
              <w:spacing w:line="300" w:lineRule="exact"/>
              <w:jc w:val="center"/>
              <w:rPr>
                <w:rFonts w:cs="宋体" w:asciiTheme="minorEastAsia" w:hAnsiTheme="minorEastAsia"/>
                <w:b/>
                <w:bCs/>
                <w:kern w:val="0"/>
                <w:szCs w:val="21"/>
              </w:rPr>
            </w:pPr>
            <w:r>
              <w:rPr>
                <w:rFonts w:hint="eastAsia" w:cs="宋体" w:asciiTheme="minorEastAsia" w:hAnsiTheme="minorEastAsia"/>
                <w:b/>
                <w:bCs/>
                <w:kern w:val="0"/>
                <w:szCs w:val="21"/>
              </w:rPr>
              <w:t>企业社会</w:t>
            </w:r>
          </w:p>
          <w:p>
            <w:pPr>
              <w:autoSpaceDE w:val="0"/>
              <w:autoSpaceDN w:val="0"/>
              <w:adjustRightInd w:val="0"/>
              <w:spacing w:line="300" w:lineRule="exact"/>
              <w:jc w:val="center"/>
              <w:rPr>
                <w:rFonts w:cs="宋体" w:asciiTheme="minorEastAsia" w:hAnsiTheme="minorEastAsia"/>
                <w:b/>
                <w:bCs/>
                <w:kern w:val="0"/>
                <w:szCs w:val="21"/>
              </w:rPr>
            </w:pPr>
            <w:r>
              <w:rPr>
                <w:rFonts w:hint="eastAsia" w:cs="宋体" w:asciiTheme="minorEastAsia" w:hAnsiTheme="minorEastAsia"/>
                <w:b/>
                <w:bCs/>
                <w:kern w:val="0"/>
                <w:szCs w:val="21"/>
              </w:rPr>
              <w:t>信用情况</w:t>
            </w:r>
          </w:p>
          <w:p>
            <w:pPr>
              <w:autoSpaceDE w:val="0"/>
              <w:autoSpaceDN w:val="0"/>
              <w:adjustRightInd w:val="0"/>
              <w:spacing w:line="300" w:lineRule="exact"/>
              <w:jc w:val="center"/>
              <w:rPr>
                <w:rFonts w:cs="宋体" w:asciiTheme="minorEastAsia" w:hAnsiTheme="minorEastAsia"/>
                <w:b/>
                <w:bCs/>
                <w:kern w:val="0"/>
                <w:szCs w:val="21"/>
              </w:rPr>
            </w:pPr>
            <w:r>
              <w:rPr>
                <w:rFonts w:cs="宋体" w:asciiTheme="minorEastAsia" w:hAnsiTheme="minorEastAsia"/>
                <w:b/>
                <w:bCs/>
                <w:kern w:val="0"/>
                <w:szCs w:val="21"/>
              </w:rPr>
              <w:t>25分</w:t>
            </w:r>
          </w:p>
          <w:p>
            <w:pPr>
              <w:autoSpaceDE w:val="0"/>
              <w:autoSpaceDN w:val="0"/>
              <w:adjustRightInd w:val="0"/>
              <w:spacing w:line="300" w:lineRule="exact"/>
              <w:jc w:val="center"/>
              <w:rPr>
                <w:rFonts w:cs="宋体" w:asciiTheme="minorEastAsia" w:hAnsiTheme="minorEastAsia"/>
                <w:b/>
                <w:bCs/>
                <w:kern w:val="0"/>
                <w:szCs w:val="21"/>
              </w:rPr>
            </w:pPr>
          </w:p>
        </w:tc>
        <w:tc>
          <w:tcPr>
            <w:tcW w:w="1276" w:type="dxa"/>
            <w:vMerge w:val="restart"/>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3.1</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企业公共</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信用信息</w:t>
            </w:r>
          </w:p>
          <w:p>
            <w:pPr>
              <w:autoSpaceDE w:val="0"/>
              <w:autoSpaceDN w:val="0"/>
              <w:adjustRightInd w:val="0"/>
              <w:spacing w:line="300" w:lineRule="exact"/>
              <w:jc w:val="center"/>
              <w:rPr>
                <w:rFonts w:cs="宋体" w:asciiTheme="minorEastAsia" w:hAnsiTheme="minorEastAsia"/>
                <w:b/>
                <w:bCs/>
                <w:kern w:val="0"/>
                <w:szCs w:val="21"/>
              </w:rPr>
            </w:pPr>
            <w:r>
              <w:rPr>
                <w:rFonts w:hint="eastAsia" w:cs="宋体" w:asciiTheme="minorEastAsia" w:hAnsiTheme="minorEastAsia"/>
                <w:b/>
                <w:kern w:val="0"/>
                <w:szCs w:val="21"/>
              </w:rPr>
              <w:t>（</w:t>
            </w:r>
            <w:r>
              <w:rPr>
                <w:rFonts w:cs="宋体" w:asciiTheme="minorEastAsia" w:hAnsiTheme="minorEastAsia"/>
                <w:b/>
                <w:kern w:val="0"/>
                <w:szCs w:val="21"/>
              </w:rPr>
              <w:t>10分）</w:t>
            </w:r>
          </w:p>
        </w:tc>
        <w:tc>
          <w:tcPr>
            <w:tcW w:w="1256" w:type="dxa"/>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3.1.1</w:t>
            </w:r>
          </w:p>
          <w:p>
            <w:pPr>
              <w:autoSpaceDE w:val="0"/>
              <w:autoSpaceDN w:val="0"/>
              <w:adjustRightInd w:val="0"/>
              <w:spacing w:line="300" w:lineRule="exact"/>
              <w:jc w:val="center"/>
              <w:rPr>
                <w:rFonts w:cs="宋体" w:asciiTheme="minorEastAsia" w:hAnsiTheme="minorEastAsia"/>
                <w:b/>
                <w:bCs/>
                <w:kern w:val="0"/>
                <w:szCs w:val="21"/>
              </w:rPr>
            </w:pPr>
            <w:r>
              <w:rPr>
                <w:rFonts w:hint="eastAsia" w:cs="宋体" w:asciiTheme="minorEastAsia" w:hAnsiTheme="minorEastAsia"/>
                <w:b/>
                <w:kern w:val="0"/>
                <w:szCs w:val="21"/>
              </w:rPr>
              <w:t>公共信用记录</w:t>
            </w:r>
          </w:p>
        </w:tc>
        <w:tc>
          <w:tcPr>
            <w:tcW w:w="1011" w:type="dxa"/>
            <w:vAlign w:val="center"/>
          </w:tcPr>
          <w:p>
            <w:pPr>
              <w:autoSpaceDE w:val="0"/>
              <w:autoSpaceDN w:val="0"/>
              <w:adjustRightInd w:val="0"/>
              <w:spacing w:line="300" w:lineRule="exact"/>
              <w:jc w:val="center"/>
              <w:rPr>
                <w:rFonts w:cs="宋体" w:asciiTheme="minorEastAsia" w:hAnsiTheme="minorEastAsia"/>
                <w:b/>
                <w:bCs/>
                <w:kern w:val="0"/>
                <w:szCs w:val="21"/>
              </w:rPr>
            </w:pPr>
            <w:r>
              <w:rPr>
                <w:rFonts w:cs="宋体" w:asciiTheme="minorEastAsia" w:hAnsiTheme="minorEastAsia"/>
                <w:b/>
                <w:kern w:val="0"/>
                <w:szCs w:val="21"/>
              </w:rPr>
              <w:t>8分</w:t>
            </w:r>
          </w:p>
        </w:tc>
        <w:tc>
          <w:tcPr>
            <w:tcW w:w="4060" w:type="dxa"/>
            <w:vAlign w:val="center"/>
          </w:tcPr>
          <w:p>
            <w:pPr>
              <w:autoSpaceDE w:val="0"/>
              <w:autoSpaceDN w:val="0"/>
              <w:adjustRightInd w:val="0"/>
              <w:spacing w:line="300" w:lineRule="exact"/>
              <w:jc w:val="left"/>
              <w:rPr>
                <w:rFonts w:cs="宋体" w:asciiTheme="minorEastAsia" w:hAnsiTheme="minorEastAsia"/>
                <w:b/>
                <w:bCs/>
                <w:kern w:val="0"/>
                <w:szCs w:val="21"/>
              </w:rPr>
            </w:pPr>
            <w:r>
              <w:rPr>
                <w:rFonts w:hint="eastAsia" w:cs="宋体" w:asciiTheme="minorEastAsia" w:hAnsiTheme="minorEastAsia"/>
                <w:b/>
                <w:kern w:val="0"/>
                <w:szCs w:val="21"/>
              </w:rPr>
              <w:t>评价企业在金融机构、工商、税务、消协、住建、房管、国土、环保、质监、安监、消防、司法等相关部门信用记录情况。</w:t>
            </w:r>
          </w:p>
        </w:tc>
        <w:tc>
          <w:tcPr>
            <w:tcW w:w="6834" w:type="dxa"/>
            <w:vAlign w:val="center"/>
          </w:tcPr>
          <w:p>
            <w:pPr>
              <w:autoSpaceDE w:val="0"/>
              <w:autoSpaceDN w:val="0"/>
              <w:adjustRightInd w:val="0"/>
              <w:spacing w:line="300" w:lineRule="exact"/>
              <w:jc w:val="left"/>
              <w:rPr>
                <w:rFonts w:cs="宋体" w:asciiTheme="minorEastAsia" w:hAnsiTheme="minorEastAsia"/>
                <w:b/>
                <w:bCs/>
                <w:kern w:val="0"/>
                <w:szCs w:val="21"/>
              </w:rPr>
            </w:pPr>
            <w:r>
              <w:rPr>
                <w:rFonts w:hint="eastAsia" w:cs="宋体" w:asciiTheme="minorEastAsia" w:hAnsiTheme="minorEastAsia"/>
                <w:b/>
                <w:kern w:val="0"/>
                <w:szCs w:val="21"/>
              </w:rPr>
              <w:t>企业近三年在各机构、监管部门存在不良记录，每项扣</w:t>
            </w:r>
            <w:r>
              <w:rPr>
                <w:rFonts w:cs="宋体" w:asciiTheme="minorEastAsia" w:hAnsiTheme="minorEastAsia"/>
                <w:b/>
                <w:kern w:val="0"/>
                <w:szCs w:val="21"/>
              </w:rPr>
              <w:t>0.5-1分，累计扣满8分。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1" w:type="dxa"/>
            <w:vMerge w:val="continue"/>
            <w:vAlign w:val="center"/>
          </w:tcPr>
          <w:p>
            <w:pPr>
              <w:autoSpaceDE w:val="0"/>
              <w:autoSpaceDN w:val="0"/>
              <w:adjustRightInd w:val="0"/>
              <w:spacing w:line="300" w:lineRule="exact"/>
              <w:jc w:val="center"/>
              <w:rPr>
                <w:rFonts w:cs="宋体" w:asciiTheme="minorEastAsia" w:hAnsiTheme="minorEastAsia"/>
                <w:b/>
                <w:bCs/>
                <w:kern w:val="0"/>
                <w:szCs w:val="21"/>
              </w:rPr>
            </w:pPr>
          </w:p>
        </w:tc>
        <w:tc>
          <w:tcPr>
            <w:tcW w:w="1276" w:type="dxa"/>
            <w:vMerge w:val="continue"/>
            <w:vAlign w:val="center"/>
          </w:tcPr>
          <w:p>
            <w:pPr>
              <w:autoSpaceDE w:val="0"/>
              <w:autoSpaceDN w:val="0"/>
              <w:adjustRightInd w:val="0"/>
              <w:spacing w:line="300" w:lineRule="exact"/>
              <w:jc w:val="center"/>
              <w:rPr>
                <w:rFonts w:cs="宋体" w:asciiTheme="minorEastAsia" w:hAnsiTheme="minorEastAsia"/>
                <w:b/>
                <w:kern w:val="0"/>
                <w:szCs w:val="21"/>
              </w:rPr>
            </w:pPr>
          </w:p>
        </w:tc>
        <w:tc>
          <w:tcPr>
            <w:tcW w:w="1256" w:type="dxa"/>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3.1.2</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纳税额</w:t>
            </w:r>
          </w:p>
        </w:tc>
        <w:tc>
          <w:tcPr>
            <w:tcW w:w="1011" w:type="dxa"/>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2分</w:t>
            </w:r>
          </w:p>
        </w:tc>
        <w:tc>
          <w:tcPr>
            <w:tcW w:w="4060" w:type="dxa"/>
            <w:vAlign w:val="center"/>
          </w:tcPr>
          <w:p>
            <w:pPr>
              <w:autoSpaceDE w:val="0"/>
              <w:autoSpaceDN w:val="0"/>
              <w:adjustRightInd w:val="0"/>
              <w:spacing w:line="300" w:lineRule="exact"/>
              <w:jc w:val="left"/>
              <w:rPr>
                <w:rFonts w:cs="宋体" w:asciiTheme="minorEastAsia" w:hAnsiTheme="minorEastAsia"/>
                <w:b/>
                <w:kern w:val="0"/>
                <w:szCs w:val="21"/>
              </w:rPr>
            </w:pPr>
            <w:r>
              <w:rPr>
                <w:rFonts w:hint="eastAsia" w:cs="宋体" w:asciiTheme="minorEastAsia" w:hAnsiTheme="minorEastAsia"/>
                <w:b/>
                <w:kern w:val="0"/>
                <w:szCs w:val="21"/>
              </w:rPr>
              <w:t>通过评价企业纳税额，反映企业纳税贡献率</w:t>
            </w:r>
          </w:p>
        </w:tc>
        <w:tc>
          <w:tcPr>
            <w:tcW w:w="6834" w:type="dxa"/>
            <w:vAlign w:val="center"/>
          </w:tcPr>
          <w:p>
            <w:pPr>
              <w:autoSpaceDE w:val="0"/>
              <w:autoSpaceDN w:val="0"/>
              <w:adjustRightInd w:val="0"/>
              <w:spacing w:line="300" w:lineRule="exact"/>
              <w:jc w:val="left"/>
              <w:rPr>
                <w:rFonts w:cs="宋体" w:asciiTheme="minorEastAsia" w:hAnsiTheme="minorEastAsia"/>
                <w:b/>
                <w:kern w:val="0"/>
                <w:szCs w:val="21"/>
              </w:rPr>
            </w:pPr>
            <w:r>
              <w:rPr>
                <w:rFonts w:hint="eastAsia" w:cs="宋体" w:asciiTheme="minorEastAsia" w:hAnsiTheme="minorEastAsia"/>
                <w:b/>
                <w:kern w:val="0"/>
                <w:szCs w:val="21"/>
              </w:rPr>
              <w:t>近三年，被盟（市）、县（市、区）以上税务部门评为A级纳税企业，得2分。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1" w:type="dxa"/>
            <w:vMerge w:val="continue"/>
            <w:vAlign w:val="center"/>
          </w:tcPr>
          <w:p>
            <w:pPr>
              <w:autoSpaceDE w:val="0"/>
              <w:autoSpaceDN w:val="0"/>
              <w:adjustRightInd w:val="0"/>
              <w:spacing w:line="300" w:lineRule="exact"/>
              <w:jc w:val="center"/>
              <w:rPr>
                <w:rFonts w:cs="宋体" w:asciiTheme="minorEastAsia" w:hAnsiTheme="minorEastAsia"/>
                <w:b/>
                <w:bCs/>
                <w:kern w:val="0"/>
                <w:szCs w:val="21"/>
              </w:rPr>
            </w:pPr>
          </w:p>
        </w:tc>
        <w:tc>
          <w:tcPr>
            <w:tcW w:w="1276" w:type="dxa"/>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3.2</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企业对</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合作方信用</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w:t>
            </w:r>
            <w:r>
              <w:rPr>
                <w:rFonts w:cs="宋体" w:asciiTheme="minorEastAsia" w:hAnsiTheme="minorEastAsia"/>
                <w:b/>
                <w:kern w:val="0"/>
                <w:szCs w:val="21"/>
              </w:rPr>
              <w:t>6分）</w:t>
            </w:r>
          </w:p>
        </w:tc>
        <w:tc>
          <w:tcPr>
            <w:tcW w:w="1256" w:type="dxa"/>
            <w:vAlign w:val="center"/>
          </w:tcPr>
          <w:p>
            <w:pPr>
              <w:autoSpaceDE w:val="0"/>
              <w:autoSpaceDN w:val="0"/>
              <w:adjustRightInd w:val="0"/>
              <w:spacing w:line="300" w:lineRule="exact"/>
              <w:jc w:val="center"/>
              <w:rPr>
                <w:rFonts w:cs="宋体" w:asciiTheme="minorEastAsia" w:hAnsiTheme="minorEastAsia"/>
                <w:b/>
                <w:kern w:val="0"/>
                <w:szCs w:val="21"/>
              </w:rPr>
            </w:pPr>
          </w:p>
        </w:tc>
        <w:tc>
          <w:tcPr>
            <w:tcW w:w="1011" w:type="dxa"/>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6分</w:t>
            </w:r>
          </w:p>
        </w:tc>
        <w:tc>
          <w:tcPr>
            <w:tcW w:w="4060" w:type="dxa"/>
            <w:vAlign w:val="center"/>
          </w:tcPr>
          <w:p>
            <w:pPr>
              <w:autoSpaceDE w:val="0"/>
              <w:autoSpaceDN w:val="0"/>
              <w:adjustRightInd w:val="0"/>
              <w:spacing w:line="300" w:lineRule="exact"/>
              <w:rPr>
                <w:rFonts w:cs="宋体" w:asciiTheme="minorEastAsia" w:hAnsiTheme="minorEastAsia"/>
                <w:b/>
                <w:kern w:val="0"/>
                <w:szCs w:val="21"/>
              </w:rPr>
            </w:pPr>
            <w:r>
              <w:rPr>
                <w:rFonts w:hint="eastAsia" w:cs="宋体" w:asciiTheme="minorEastAsia" w:hAnsiTheme="minorEastAsia"/>
                <w:b/>
                <w:kern w:val="0"/>
                <w:szCs w:val="21"/>
              </w:rPr>
              <w:t>评价企业对合作方信用，包括股东、设计单位、供应商、施工承包方、勘察、监理及上下游合作企业等。</w:t>
            </w:r>
          </w:p>
        </w:tc>
        <w:tc>
          <w:tcPr>
            <w:tcW w:w="6834" w:type="dxa"/>
            <w:vAlign w:val="center"/>
          </w:tcPr>
          <w:p>
            <w:pPr>
              <w:autoSpaceDE w:val="0"/>
              <w:autoSpaceDN w:val="0"/>
              <w:adjustRightInd w:val="0"/>
              <w:spacing w:line="300" w:lineRule="exact"/>
              <w:rPr>
                <w:rFonts w:cs="宋体" w:asciiTheme="minorEastAsia" w:hAnsiTheme="minorEastAsia"/>
                <w:b/>
                <w:kern w:val="0"/>
                <w:szCs w:val="21"/>
              </w:rPr>
            </w:pPr>
            <w:r>
              <w:rPr>
                <w:rFonts w:hint="eastAsia" w:cs="宋体" w:asciiTheme="minorEastAsia" w:hAnsiTheme="minorEastAsia"/>
                <w:b/>
                <w:kern w:val="0"/>
                <w:szCs w:val="21"/>
              </w:rPr>
              <w:t>抽样调查企业主要合作方，包括设计单位、供应商、施工承包方、勘察、监理及上下游合作企业</w:t>
            </w:r>
            <w:r>
              <w:rPr>
                <w:rFonts w:cs="Times New Roman" w:asciiTheme="minorEastAsia" w:hAnsiTheme="minorEastAsia"/>
                <w:b/>
                <w:kern w:val="0"/>
                <w:szCs w:val="21"/>
              </w:rPr>
              <w:t>,</w:t>
            </w:r>
            <w:r>
              <w:rPr>
                <w:rFonts w:hint="eastAsia" w:cs="宋体" w:asciiTheme="minorEastAsia" w:hAnsiTheme="minorEastAsia"/>
                <w:b/>
                <w:kern w:val="0"/>
                <w:szCs w:val="21"/>
              </w:rPr>
              <w:t>无不良记录得</w:t>
            </w:r>
            <w:r>
              <w:rPr>
                <w:rFonts w:cs="宋体" w:asciiTheme="minorEastAsia" w:hAnsiTheme="minorEastAsia"/>
                <w:b/>
                <w:kern w:val="0"/>
                <w:szCs w:val="21"/>
              </w:rPr>
              <w:t>6分；每出现一项不良记录，根据情节严重程度扣</w:t>
            </w:r>
            <w:r>
              <w:rPr>
                <w:rFonts w:cs="Times New Roman" w:asciiTheme="minorEastAsia" w:hAnsiTheme="minorEastAsia"/>
                <w:b/>
                <w:kern w:val="0"/>
                <w:szCs w:val="21"/>
              </w:rPr>
              <w:t>0.5-1</w:t>
            </w:r>
            <w:r>
              <w:rPr>
                <w:rFonts w:hint="eastAsia" w:cs="宋体" w:asciiTheme="minorEastAsia" w:hAnsiTheme="minorEastAsia"/>
                <w:b/>
                <w:kern w:val="0"/>
                <w:szCs w:val="21"/>
              </w:rPr>
              <w:t>分；累计扣满</w:t>
            </w:r>
            <w:r>
              <w:rPr>
                <w:rFonts w:cs="Times New Roman" w:asciiTheme="minorEastAsia" w:hAnsiTheme="minorEastAsia"/>
                <w:b/>
                <w:kern w:val="0"/>
                <w:szCs w:val="21"/>
              </w:rPr>
              <w:t>6</w:t>
            </w:r>
            <w:r>
              <w:rPr>
                <w:rFonts w:hint="eastAsia" w:cs="宋体" w:asciiTheme="minorEastAsia" w:hAnsiTheme="minorEastAsia"/>
                <w:b/>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1" w:type="dxa"/>
            <w:vMerge w:val="continue"/>
            <w:vAlign w:val="center"/>
          </w:tcPr>
          <w:p>
            <w:pPr>
              <w:autoSpaceDE w:val="0"/>
              <w:autoSpaceDN w:val="0"/>
              <w:adjustRightInd w:val="0"/>
              <w:spacing w:line="300" w:lineRule="exact"/>
              <w:jc w:val="center"/>
              <w:rPr>
                <w:rFonts w:cs="宋体" w:asciiTheme="minorEastAsia" w:hAnsiTheme="minorEastAsia"/>
                <w:b/>
                <w:bCs/>
                <w:kern w:val="0"/>
                <w:szCs w:val="21"/>
              </w:rPr>
            </w:pPr>
          </w:p>
        </w:tc>
        <w:tc>
          <w:tcPr>
            <w:tcW w:w="1276" w:type="dxa"/>
            <w:vAlign w:val="center"/>
          </w:tcPr>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3.3</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企业对</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员工信用</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（2分）</w:t>
            </w:r>
          </w:p>
        </w:tc>
        <w:tc>
          <w:tcPr>
            <w:tcW w:w="1256" w:type="dxa"/>
            <w:vAlign w:val="center"/>
          </w:tcPr>
          <w:p>
            <w:pPr>
              <w:autoSpaceDE w:val="0"/>
              <w:autoSpaceDN w:val="0"/>
              <w:adjustRightInd w:val="0"/>
              <w:spacing w:line="300" w:lineRule="exact"/>
              <w:jc w:val="center"/>
              <w:rPr>
                <w:rFonts w:cs="宋体" w:asciiTheme="minorEastAsia" w:hAnsiTheme="minorEastAsia"/>
                <w:b/>
                <w:kern w:val="0"/>
                <w:szCs w:val="21"/>
              </w:rPr>
            </w:pPr>
          </w:p>
        </w:tc>
        <w:tc>
          <w:tcPr>
            <w:tcW w:w="1011" w:type="dxa"/>
            <w:vAlign w:val="center"/>
          </w:tcPr>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2分</w:t>
            </w:r>
          </w:p>
        </w:tc>
        <w:tc>
          <w:tcPr>
            <w:tcW w:w="4060" w:type="dxa"/>
            <w:vAlign w:val="center"/>
          </w:tcPr>
          <w:p>
            <w:pPr>
              <w:autoSpaceDE w:val="0"/>
              <w:autoSpaceDN w:val="0"/>
              <w:adjustRightInd w:val="0"/>
              <w:spacing w:line="300" w:lineRule="exact"/>
              <w:rPr>
                <w:rFonts w:cs="宋体" w:asciiTheme="minorEastAsia" w:hAnsiTheme="minorEastAsia"/>
                <w:b/>
                <w:kern w:val="0"/>
                <w:szCs w:val="21"/>
              </w:rPr>
            </w:pPr>
            <w:r>
              <w:rPr>
                <w:rFonts w:hint="eastAsia" w:cs="宋体" w:asciiTheme="minorEastAsia" w:hAnsiTheme="minorEastAsia"/>
                <w:b/>
                <w:kern w:val="0"/>
                <w:szCs w:val="21"/>
              </w:rPr>
              <w:t>评价企业是否为员工正常缴纳五险一金，是否按劳动合同法保障员工权益。</w:t>
            </w:r>
          </w:p>
        </w:tc>
        <w:tc>
          <w:tcPr>
            <w:tcW w:w="6834" w:type="dxa"/>
            <w:vAlign w:val="center"/>
          </w:tcPr>
          <w:p>
            <w:pPr>
              <w:autoSpaceDE w:val="0"/>
              <w:autoSpaceDN w:val="0"/>
              <w:adjustRightInd w:val="0"/>
              <w:spacing w:line="300" w:lineRule="exact"/>
              <w:rPr>
                <w:rFonts w:cs="宋体" w:asciiTheme="minorEastAsia" w:hAnsiTheme="minorEastAsia"/>
                <w:b/>
                <w:kern w:val="0"/>
                <w:szCs w:val="21"/>
              </w:rPr>
            </w:pPr>
            <w:r>
              <w:rPr>
                <w:rFonts w:hint="eastAsia" w:cs="宋体" w:asciiTheme="minorEastAsia" w:hAnsiTheme="minorEastAsia"/>
                <w:b/>
                <w:kern w:val="0"/>
                <w:szCs w:val="21"/>
              </w:rPr>
              <w:t>企业近三年根据本企业劳动合同全员按时足额为员工缴纳五险一金得</w:t>
            </w:r>
            <w:r>
              <w:rPr>
                <w:rFonts w:hint="eastAsia" w:cs="Times New Roman" w:asciiTheme="minorEastAsia" w:hAnsiTheme="minorEastAsia"/>
                <w:b/>
                <w:kern w:val="0"/>
                <w:szCs w:val="21"/>
              </w:rPr>
              <w:t>2</w:t>
            </w:r>
            <w:r>
              <w:rPr>
                <w:rFonts w:hint="eastAsia" w:cs="宋体" w:asciiTheme="minorEastAsia" w:hAnsiTheme="minorEastAsia"/>
                <w:b/>
                <w:kern w:val="0"/>
                <w:szCs w:val="21"/>
              </w:rPr>
              <w:t>分；全员参保，非全员缴纳公积金，公积金缴纳人数超过总人数</w:t>
            </w:r>
            <w:r>
              <w:rPr>
                <w:rFonts w:hint="eastAsia" w:cs="Times New Roman" w:asciiTheme="minorEastAsia" w:hAnsiTheme="minorEastAsia"/>
                <w:b/>
                <w:kern w:val="0"/>
                <w:szCs w:val="21"/>
              </w:rPr>
              <w:t>50%（含50%），得1.5分；</w:t>
            </w:r>
            <w:r>
              <w:rPr>
                <w:rFonts w:hint="eastAsia" w:cs="宋体" w:asciiTheme="minorEastAsia" w:hAnsiTheme="minorEastAsia"/>
                <w:b/>
                <w:kern w:val="0"/>
                <w:szCs w:val="21"/>
              </w:rPr>
              <w:t>非全员参保、非全员缴纳公积金，缴纳人数超过总人数</w:t>
            </w:r>
            <w:r>
              <w:rPr>
                <w:rFonts w:hint="eastAsia" w:cs="Times New Roman" w:asciiTheme="minorEastAsia" w:hAnsiTheme="minorEastAsia"/>
                <w:b/>
                <w:kern w:val="0"/>
                <w:szCs w:val="21"/>
              </w:rPr>
              <w:t>50%（含50%）</w:t>
            </w:r>
            <w:r>
              <w:rPr>
                <w:rFonts w:hint="eastAsia" w:cs="宋体" w:asciiTheme="minorEastAsia" w:hAnsiTheme="minorEastAsia"/>
                <w:b/>
                <w:kern w:val="0"/>
                <w:szCs w:val="21"/>
              </w:rPr>
              <w:t>得</w:t>
            </w:r>
            <w:r>
              <w:rPr>
                <w:rFonts w:hint="eastAsia" w:cs="Times New Roman" w:asciiTheme="minorEastAsia" w:hAnsiTheme="minorEastAsia"/>
                <w:b/>
                <w:kern w:val="0"/>
                <w:szCs w:val="21"/>
              </w:rPr>
              <w:t>1</w:t>
            </w:r>
            <w:r>
              <w:rPr>
                <w:rFonts w:hint="eastAsia" w:cs="宋体" w:asciiTheme="minorEastAsia" w:hAnsiTheme="minorEastAsia"/>
                <w:b/>
                <w:kern w:val="0"/>
                <w:szCs w:val="21"/>
              </w:rPr>
              <w:t>分；缴纳人数</w:t>
            </w:r>
            <w:r>
              <w:rPr>
                <w:rFonts w:hint="eastAsia" w:cs="Times New Roman" w:asciiTheme="minorEastAsia" w:hAnsiTheme="minorEastAsia"/>
                <w:b/>
                <w:kern w:val="0"/>
                <w:szCs w:val="21"/>
              </w:rPr>
              <w:t>小于</w:t>
            </w:r>
            <w:r>
              <w:rPr>
                <w:rFonts w:hint="eastAsia" w:cs="宋体" w:asciiTheme="minorEastAsia" w:hAnsiTheme="minorEastAsia"/>
                <w:b/>
                <w:kern w:val="0"/>
                <w:szCs w:val="21"/>
              </w:rPr>
              <w:t>总人数</w:t>
            </w:r>
            <w:r>
              <w:rPr>
                <w:rFonts w:hint="eastAsia" w:cs="Times New Roman" w:asciiTheme="minorEastAsia" w:hAnsiTheme="minorEastAsia"/>
                <w:b/>
                <w:kern w:val="0"/>
                <w:szCs w:val="21"/>
              </w:rPr>
              <w:t>50%</w:t>
            </w:r>
            <w:r>
              <w:rPr>
                <w:rFonts w:hint="eastAsia" w:cs="宋体" w:asciiTheme="minorEastAsia" w:hAnsiTheme="minorEastAsia"/>
                <w:b/>
                <w:kern w:val="0"/>
                <w:szCs w:val="21"/>
              </w:rPr>
              <w:t>得</w:t>
            </w:r>
            <w:r>
              <w:rPr>
                <w:rFonts w:hint="eastAsia" w:cs="Times New Roman" w:asciiTheme="minorEastAsia" w:hAnsiTheme="minorEastAsia"/>
                <w:b/>
                <w:kern w:val="0"/>
                <w:szCs w:val="21"/>
              </w:rPr>
              <w:t>0.5</w:t>
            </w:r>
            <w:r>
              <w:rPr>
                <w:rFonts w:hint="eastAsia" w:cs="宋体" w:asciiTheme="minorEastAsia" w:hAnsiTheme="minorEastAsia"/>
                <w:b/>
                <w:kern w:val="0"/>
                <w:szCs w:val="21"/>
              </w:rPr>
              <w:t>分；不缴纳五险一金，或因劳动合同纠纷造成重大社会影响得0分。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5" w:hRule="atLeast"/>
          <w:jc w:val="center"/>
        </w:trPr>
        <w:tc>
          <w:tcPr>
            <w:tcW w:w="1301" w:type="dxa"/>
            <w:vMerge w:val="continue"/>
          </w:tcPr>
          <w:p>
            <w:pPr>
              <w:autoSpaceDE w:val="0"/>
              <w:autoSpaceDN w:val="0"/>
              <w:adjustRightInd w:val="0"/>
              <w:spacing w:line="300" w:lineRule="exact"/>
              <w:jc w:val="center"/>
              <w:rPr>
                <w:rFonts w:cs="宋体" w:asciiTheme="minorEastAsia" w:hAnsiTheme="minorEastAsia"/>
                <w:b/>
                <w:bCs/>
                <w:kern w:val="0"/>
                <w:szCs w:val="21"/>
              </w:rPr>
            </w:pPr>
          </w:p>
        </w:tc>
        <w:tc>
          <w:tcPr>
            <w:tcW w:w="1276" w:type="dxa"/>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3.4</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社会</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公共信用</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（2</w:t>
            </w:r>
            <w:r>
              <w:rPr>
                <w:rFonts w:cs="宋体" w:asciiTheme="minorEastAsia" w:hAnsiTheme="minorEastAsia"/>
                <w:b/>
                <w:kern w:val="0"/>
                <w:szCs w:val="21"/>
              </w:rPr>
              <w:t>分）</w:t>
            </w:r>
          </w:p>
        </w:tc>
        <w:tc>
          <w:tcPr>
            <w:tcW w:w="1256" w:type="dxa"/>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3.4.1</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社会公益</w:t>
            </w:r>
          </w:p>
        </w:tc>
        <w:tc>
          <w:tcPr>
            <w:tcW w:w="1011" w:type="dxa"/>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2分</w:t>
            </w:r>
          </w:p>
        </w:tc>
        <w:tc>
          <w:tcPr>
            <w:tcW w:w="4060" w:type="dxa"/>
            <w:vAlign w:val="center"/>
          </w:tcPr>
          <w:p>
            <w:pPr>
              <w:autoSpaceDE w:val="0"/>
              <w:autoSpaceDN w:val="0"/>
              <w:adjustRightInd w:val="0"/>
              <w:spacing w:line="300" w:lineRule="exact"/>
              <w:jc w:val="left"/>
              <w:rPr>
                <w:rFonts w:cs="宋体" w:asciiTheme="minorEastAsia" w:hAnsiTheme="minorEastAsia"/>
                <w:b/>
                <w:kern w:val="0"/>
                <w:szCs w:val="21"/>
              </w:rPr>
            </w:pPr>
            <w:r>
              <w:rPr>
                <w:rFonts w:hint="eastAsia" w:cs="宋体" w:asciiTheme="minorEastAsia" w:hAnsiTheme="minorEastAsia"/>
                <w:b/>
                <w:kern w:val="0"/>
                <w:szCs w:val="21"/>
              </w:rPr>
              <w:t>评价企业从事公益慈善事业的情况。</w:t>
            </w:r>
          </w:p>
        </w:tc>
        <w:tc>
          <w:tcPr>
            <w:tcW w:w="6834" w:type="dxa"/>
            <w:vAlign w:val="center"/>
          </w:tcPr>
          <w:p>
            <w:pPr>
              <w:autoSpaceDE w:val="0"/>
              <w:autoSpaceDN w:val="0"/>
              <w:adjustRightInd w:val="0"/>
              <w:spacing w:line="300" w:lineRule="exact"/>
              <w:jc w:val="left"/>
              <w:rPr>
                <w:rFonts w:cs="宋体" w:asciiTheme="minorEastAsia" w:hAnsiTheme="minorEastAsia"/>
                <w:b/>
                <w:kern w:val="0"/>
                <w:szCs w:val="21"/>
              </w:rPr>
            </w:pPr>
            <w:r>
              <w:rPr>
                <w:rFonts w:hint="eastAsia" w:cs="宋体" w:asciiTheme="minorEastAsia" w:hAnsiTheme="minorEastAsia"/>
                <w:b/>
                <w:kern w:val="0"/>
                <w:szCs w:val="21"/>
              </w:rPr>
              <w:t>企业连续三年捐款救助证明、获得县级以行政部门表彰得</w:t>
            </w:r>
            <w:r>
              <w:rPr>
                <w:rFonts w:cs="宋体" w:asciiTheme="minorEastAsia" w:hAnsiTheme="minorEastAsia"/>
                <w:b/>
                <w:kern w:val="0"/>
                <w:szCs w:val="21"/>
              </w:rPr>
              <w:t>2分；</w:t>
            </w:r>
          </w:p>
          <w:p>
            <w:pPr>
              <w:autoSpaceDE w:val="0"/>
              <w:autoSpaceDN w:val="0"/>
              <w:adjustRightInd w:val="0"/>
              <w:spacing w:line="300" w:lineRule="exact"/>
              <w:jc w:val="left"/>
              <w:rPr>
                <w:rFonts w:cs="宋体" w:asciiTheme="minorEastAsia" w:hAnsiTheme="minorEastAsia"/>
                <w:b/>
                <w:kern w:val="0"/>
                <w:szCs w:val="21"/>
              </w:rPr>
            </w:pPr>
            <w:r>
              <w:rPr>
                <w:rFonts w:hint="eastAsia" w:cs="宋体" w:asciiTheme="minorEastAsia" w:hAnsiTheme="minorEastAsia"/>
                <w:b/>
                <w:kern w:val="0"/>
                <w:szCs w:val="21"/>
              </w:rPr>
              <w:t>企业近三年捐款救助证明或获得县级以行政部门表彰得</w:t>
            </w:r>
            <w:r>
              <w:rPr>
                <w:rFonts w:cs="宋体" w:asciiTheme="minorEastAsia" w:hAnsiTheme="minorEastAsia"/>
                <w:b/>
                <w:kern w:val="0"/>
                <w:szCs w:val="21"/>
              </w:rPr>
              <w:t>1分；</w:t>
            </w:r>
          </w:p>
          <w:p>
            <w:pPr>
              <w:autoSpaceDE w:val="0"/>
              <w:autoSpaceDN w:val="0"/>
              <w:adjustRightInd w:val="0"/>
              <w:spacing w:line="300" w:lineRule="exact"/>
              <w:jc w:val="left"/>
              <w:rPr>
                <w:rFonts w:cs="宋体" w:asciiTheme="minorEastAsia" w:hAnsiTheme="minorEastAsia"/>
                <w:b/>
                <w:kern w:val="0"/>
                <w:szCs w:val="21"/>
              </w:rPr>
            </w:pPr>
            <w:r>
              <w:rPr>
                <w:rFonts w:hint="eastAsia" w:cs="宋体" w:asciiTheme="minorEastAsia" w:hAnsiTheme="minorEastAsia"/>
                <w:b/>
                <w:kern w:val="0"/>
                <w:szCs w:val="21"/>
              </w:rPr>
              <w:t>企业无捐助证明得</w:t>
            </w:r>
            <w:r>
              <w:rPr>
                <w:rFonts w:cs="宋体" w:asciiTheme="minorEastAsia" w:hAnsiTheme="minorEastAsia"/>
                <w:b/>
                <w:kern w:val="0"/>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1" w:type="dxa"/>
            <w:vMerge w:val="continue"/>
          </w:tcPr>
          <w:p>
            <w:pPr>
              <w:autoSpaceDE w:val="0"/>
              <w:autoSpaceDN w:val="0"/>
              <w:adjustRightInd w:val="0"/>
              <w:spacing w:line="300" w:lineRule="exact"/>
              <w:jc w:val="center"/>
              <w:rPr>
                <w:rFonts w:cs="宋体" w:asciiTheme="minorEastAsia" w:hAnsiTheme="minorEastAsia"/>
                <w:b/>
                <w:bCs/>
                <w:kern w:val="0"/>
                <w:szCs w:val="21"/>
              </w:rPr>
            </w:pPr>
          </w:p>
        </w:tc>
        <w:tc>
          <w:tcPr>
            <w:tcW w:w="1276" w:type="dxa"/>
            <w:vMerge w:val="restart"/>
            <w:vAlign w:val="center"/>
          </w:tcPr>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3.5</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社会荣誉</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（5分）</w:t>
            </w:r>
          </w:p>
        </w:tc>
        <w:tc>
          <w:tcPr>
            <w:tcW w:w="1256" w:type="dxa"/>
            <w:vAlign w:val="center"/>
          </w:tcPr>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3.5.1</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企业荣誉</w:t>
            </w:r>
          </w:p>
        </w:tc>
        <w:tc>
          <w:tcPr>
            <w:tcW w:w="1011" w:type="dxa"/>
            <w:vAlign w:val="center"/>
          </w:tcPr>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3分</w:t>
            </w:r>
          </w:p>
        </w:tc>
        <w:tc>
          <w:tcPr>
            <w:tcW w:w="4060" w:type="dxa"/>
            <w:vAlign w:val="center"/>
          </w:tcPr>
          <w:p>
            <w:pPr>
              <w:autoSpaceDE w:val="0"/>
              <w:autoSpaceDN w:val="0"/>
              <w:adjustRightInd w:val="0"/>
              <w:spacing w:line="300" w:lineRule="exact"/>
              <w:jc w:val="left"/>
              <w:rPr>
                <w:rFonts w:cs="宋体" w:asciiTheme="minorEastAsia" w:hAnsiTheme="minorEastAsia"/>
                <w:b/>
                <w:kern w:val="0"/>
                <w:szCs w:val="21"/>
              </w:rPr>
            </w:pPr>
            <w:r>
              <w:rPr>
                <w:rFonts w:hint="eastAsia" w:cs="宋体" w:asciiTheme="minorEastAsia" w:hAnsiTheme="minorEastAsia"/>
                <w:b/>
                <w:kern w:val="0"/>
                <w:szCs w:val="21"/>
              </w:rPr>
              <w:t>企业及企业项目所获荣誉是社会对企业的一种肯定，可以从侧米反映企业的信用情况。</w:t>
            </w:r>
          </w:p>
        </w:tc>
        <w:tc>
          <w:tcPr>
            <w:tcW w:w="6834" w:type="dxa"/>
            <w:vAlign w:val="center"/>
          </w:tcPr>
          <w:p>
            <w:pPr>
              <w:autoSpaceDE w:val="0"/>
              <w:autoSpaceDN w:val="0"/>
              <w:adjustRightInd w:val="0"/>
              <w:spacing w:line="300" w:lineRule="exact"/>
              <w:jc w:val="left"/>
              <w:rPr>
                <w:rFonts w:cs="宋体" w:asciiTheme="minorEastAsia" w:hAnsiTheme="minorEastAsia"/>
                <w:b/>
                <w:kern w:val="0"/>
                <w:szCs w:val="21"/>
              </w:rPr>
            </w:pPr>
            <w:r>
              <w:rPr>
                <w:rFonts w:hint="eastAsia" w:cs="宋体" w:asciiTheme="minorEastAsia" w:hAnsiTheme="minorEastAsia"/>
                <w:b/>
                <w:kern w:val="0"/>
                <w:szCs w:val="21"/>
              </w:rPr>
              <w:t>企业获得省、部级以上国家行政主管部门、全国性行业协会、自治区房地产业协会表彰、授牌得2分；获得地级市以上人民政府、行政主管部门表彰、授牌每项目得1分，总分3分。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1" w:type="dxa"/>
            <w:vMerge w:val="continue"/>
          </w:tcPr>
          <w:p>
            <w:pPr>
              <w:autoSpaceDE w:val="0"/>
              <w:autoSpaceDN w:val="0"/>
              <w:adjustRightInd w:val="0"/>
              <w:spacing w:line="300" w:lineRule="exact"/>
              <w:jc w:val="center"/>
              <w:rPr>
                <w:rFonts w:cs="宋体" w:asciiTheme="minorEastAsia" w:hAnsiTheme="minorEastAsia"/>
                <w:b/>
                <w:bCs/>
                <w:kern w:val="0"/>
                <w:szCs w:val="21"/>
              </w:rPr>
            </w:pPr>
          </w:p>
        </w:tc>
        <w:tc>
          <w:tcPr>
            <w:tcW w:w="1276" w:type="dxa"/>
            <w:vMerge w:val="continue"/>
            <w:vAlign w:val="center"/>
          </w:tcPr>
          <w:p>
            <w:pPr>
              <w:autoSpaceDE w:val="0"/>
              <w:autoSpaceDN w:val="0"/>
              <w:adjustRightInd w:val="0"/>
              <w:spacing w:line="300" w:lineRule="exact"/>
              <w:jc w:val="center"/>
              <w:rPr>
                <w:rFonts w:cs="宋体" w:asciiTheme="minorEastAsia" w:hAnsiTheme="minorEastAsia"/>
                <w:b/>
                <w:kern w:val="0"/>
                <w:szCs w:val="21"/>
              </w:rPr>
            </w:pPr>
          </w:p>
        </w:tc>
        <w:tc>
          <w:tcPr>
            <w:tcW w:w="1256" w:type="dxa"/>
            <w:vAlign w:val="center"/>
          </w:tcPr>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3.5.2</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项目荣誉</w:t>
            </w:r>
          </w:p>
        </w:tc>
        <w:tc>
          <w:tcPr>
            <w:tcW w:w="1011" w:type="dxa"/>
            <w:vAlign w:val="center"/>
          </w:tcPr>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2分</w:t>
            </w:r>
          </w:p>
        </w:tc>
        <w:tc>
          <w:tcPr>
            <w:tcW w:w="4060" w:type="dxa"/>
            <w:vAlign w:val="center"/>
          </w:tcPr>
          <w:p>
            <w:pPr>
              <w:autoSpaceDE w:val="0"/>
              <w:autoSpaceDN w:val="0"/>
              <w:adjustRightInd w:val="0"/>
              <w:spacing w:line="300" w:lineRule="exact"/>
              <w:jc w:val="left"/>
              <w:rPr>
                <w:rFonts w:cs="宋体" w:asciiTheme="minorEastAsia" w:hAnsiTheme="minorEastAsia"/>
                <w:b/>
                <w:kern w:val="0"/>
                <w:szCs w:val="21"/>
              </w:rPr>
            </w:pPr>
          </w:p>
        </w:tc>
        <w:tc>
          <w:tcPr>
            <w:tcW w:w="6834" w:type="dxa"/>
            <w:vAlign w:val="center"/>
          </w:tcPr>
          <w:p>
            <w:pPr>
              <w:autoSpaceDE w:val="0"/>
              <w:autoSpaceDN w:val="0"/>
              <w:adjustRightInd w:val="0"/>
              <w:spacing w:line="300" w:lineRule="exact"/>
              <w:jc w:val="left"/>
              <w:rPr>
                <w:rFonts w:cs="宋体" w:asciiTheme="minorEastAsia" w:hAnsiTheme="minorEastAsia"/>
                <w:b/>
                <w:kern w:val="0"/>
                <w:szCs w:val="21"/>
              </w:rPr>
            </w:pPr>
            <w:r>
              <w:rPr>
                <w:rFonts w:hint="eastAsia" w:cs="宋体" w:asciiTheme="minorEastAsia" w:hAnsiTheme="minorEastAsia"/>
                <w:b/>
                <w:kern w:val="0"/>
                <w:szCs w:val="21"/>
              </w:rPr>
              <w:t>企业项目获得广厦奖、鲁班奖、詹天佑奖、</w:t>
            </w:r>
            <w:r>
              <w:rPr>
                <w:rFonts w:hint="eastAsia" w:cs="宋体" w:asciiTheme="minorEastAsia" w:hAnsiTheme="minorEastAsia"/>
                <w:b/>
                <w:kern w:val="0"/>
                <w:szCs w:val="21"/>
                <w:lang w:eastAsia="zh-CN"/>
              </w:rPr>
              <w:t>草原杯</w:t>
            </w:r>
            <w:r>
              <w:rPr>
                <w:rFonts w:hint="eastAsia" w:cs="宋体" w:asciiTheme="minorEastAsia" w:hAnsiTheme="minorEastAsia"/>
                <w:b/>
                <w:kern w:val="0"/>
                <w:szCs w:val="21"/>
              </w:rPr>
              <w:t>等省、部级以上国家行政主管部门或全国性行业协会的表彰，每项得1分；</w:t>
            </w:r>
          </w:p>
          <w:p>
            <w:pPr>
              <w:autoSpaceDE w:val="0"/>
              <w:autoSpaceDN w:val="0"/>
              <w:adjustRightInd w:val="0"/>
              <w:spacing w:line="300" w:lineRule="exact"/>
              <w:jc w:val="left"/>
              <w:rPr>
                <w:rFonts w:cs="宋体" w:asciiTheme="minorEastAsia" w:hAnsiTheme="minorEastAsia"/>
                <w:b/>
                <w:kern w:val="0"/>
                <w:szCs w:val="21"/>
              </w:rPr>
            </w:pPr>
            <w:r>
              <w:rPr>
                <w:rFonts w:hint="eastAsia" w:cs="宋体" w:asciiTheme="minorEastAsia" w:hAnsiTheme="minorEastAsia"/>
                <w:b/>
                <w:kern w:val="0"/>
                <w:szCs w:val="21"/>
              </w:rPr>
              <w:t>获得地级市以上人民政府、主管部门表彰，每项得1分，总分2分。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1" w:type="dxa"/>
            <w:vAlign w:val="center"/>
          </w:tcPr>
          <w:p>
            <w:pPr>
              <w:autoSpaceDE w:val="0"/>
              <w:autoSpaceDN w:val="0"/>
              <w:adjustRightInd w:val="0"/>
              <w:spacing w:line="300" w:lineRule="exact"/>
              <w:jc w:val="left"/>
              <w:rPr>
                <w:rFonts w:cs="宋体" w:asciiTheme="minorEastAsia" w:hAnsiTheme="minorEastAsia"/>
                <w:b/>
                <w:kern w:val="0"/>
                <w:szCs w:val="21"/>
              </w:rPr>
            </w:pPr>
            <w:r>
              <w:rPr>
                <w:rFonts w:hint="eastAsia" w:cs="宋体" w:asciiTheme="minorEastAsia" w:hAnsiTheme="minorEastAsia"/>
                <w:b/>
                <w:bCs/>
                <w:kern w:val="0"/>
                <w:szCs w:val="21"/>
              </w:rPr>
              <w:t>一级指标</w:t>
            </w:r>
          </w:p>
        </w:tc>
        <w:tc>
          <w:tcPr>
            <w:tcW w:w="1276" w:type="dxa"/>
            <w:vAlign w:val="center"/>
          </w:tcPr>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bCs/>
                <w:kern w:val="0"/>
                <w:szCs w:val="21"/>
              </w:rPr>
              <w:t>二级指标</w:t>
            </w:r>
          </w:p>
        </w:tc>
        <w:tc>
          <w:tcPr>
            <w:tcW w:w="1256" w:type="dxa"/>
            <w:vAlign w:val="center"/>
          </w:tcPr>
          <w:p>
            <w:pPr>
              <w:widowControl/>
              <w:spacing w:line="300" w:lineRule="exact"/>
              <w:jc w:val="center"/>
              <w:rPr>
                <w:rFonts w:cs="宋体" w:asciiTheme="minorEastAsia" w:hAnsiTheme="minorEastAsia"/>
                <w:b/>
                <w:kern w:val="0"/>
                <w:szCs w:val="21"/>
              </w:rPr>
            </w:pPr>
            <w:r>
              <w:rPr>
                <w:rFonts w:hint="eastAsia" w:cs="宋体" w:asciiTheme="minorEastAsia" w:hAnsiTheme="minorEastAsia"/>
                <w:b/>
                <w:bCs/>
                <w:kern w:val="0"/>
                <w:szCs w:val="21"/>
              </w:rPr>
              <w:t>三级指标</w:t>
            </w:r>
          </w:p>
        </w:tc>
        <w:tc>
          <w:tcPr>
            <w:tcW w:w="1011" w:type="dxa"/>
            <w:vAlign w:val="center"/>
          </w:tcPr>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bCs/>
                <w:kern w:val="0"/>
                <w:szCs w:val="21"/>
              </w:rPr>
              <w:t>分值</w:t>
            </w:r>
          </w:p>
        </w:tc>
        <w:tc>
          <w:tcPr>
            <w:tcW w:w="4060" w:type="dxa"/>
            <w:vAlign w:val="center"/>
          </w:tcPr>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bCs/>
                <w:kern w:val="0"/>
                <w:szCs w:val="21"/>
              </w:rPr>
              <w:t>指标说明</w:t>
            </w:r>
          </w:p>
        </w:tc>
        <w:tc>
          <w:tcPr>
            <w:tcW w:w="6834" w:type="dxa"/>
            <w:vAlign w:val="center"/>
          </w:tcPr>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bCs/>
                <w:kern w:val="0"/>
                <w:szCs w:val="21"/>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1" w:type="dxa"/>
            <w:vMerge w:val="restart"/>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4.</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加分项</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lang w:val="en-US" w:eastAsia="zh-CN"/>
              </w:rPr>
              <w:t>7</w:t>
            </w:r>
            <w:bookmarkStart w:id="0" w:name="_GoBack"/>
            <w:bookmarkEnd w:id="0"/>
            <w:r>
              <w:rPr>
                <w:rFonts w:cs="宋体" w:asciiTheme="minorEastAsia" w:hAnsiTheme="minorEastAsia"/>
                <w:b/>
                <w:kern w:val="0"/>
                <w:szCs w:val="21"/>
              </w:rPr>
              <w:t>分</w:t>
            </w:r>
          </w:p>
        </w:tc>
        <w:tc>
          <w:tcPr>
            <w:tcW w:w="1276" w:type="dxa"/>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4.1</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信用承诺</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w:t>
            </w:r>
            <w:r>
              <w:rPr>
                <w:rFonts w:cs="宋体" w:asciiTheme="minorEastAsia" w:hAnsiTheme="minorEastAsia"/>
                <w:b/>
                <w:kern w:val="0"/>
                <w:szCs w:val="21"/>
              </w:rPr>
              <w:t>1分）</w:t>
            </w:r>
          </w:p>
        </w:tc>
        <w:tc>
          <w:tcPr>
            <w:tcW w:w="1256" w:type="dxa"/>
            <w:vAlign w:val="center"/>
          </w:tcPr>
          <w:p>
            <w:pPr>
              <w:widowControl/>
              <w:spacing w:line="300" w:lineRule="exact"/>
              <w:jc w:val="left"/>
              <w:rPr>
                <w:rFonts w:cs="宋体" w:asciiTheme="minorEastAsia" w:hAnsiTheme="minorEastAsia"/>
                <w:b/>
                <w:kern w:val="0"/>
                <w:szCs w:val="21"/>
              </w:rPr>
            </w:pPr>
          </w:p>
          <w:p>
            <w:pPr>
              <w:widowControl/>
              <w:spacing w:line="300" w:lineRule="exact"/>
              <w:jc w:val="left"/>
              <w:rPr>
                <w:rFonts w:cs="宋体" w:asciiTheme="minorEastAsia" w:hAnsiTheme="minorEastAsia"/>
                <w:b/>
                <w:kern w:val="0"/>
                <w:szCs w:val="21"/>
              </w:rPr>
            </w:pPr>
          </w:p>
          <w:p>
            <w:pPr>
              <w:autoSpaceDE w:val="0"/>
              <w:autoSpaceDN w:val="0"/>
              <w:adjustRightInd w:val="0"/>
              <w:spacing w:line="300" w:lineRule="exact"/>
              <w:jc w:val="center"/>
              <w:rPr>
                <w:rFonts w:cs="宋体" w:asciiTheme="minorEastAsia" w:hAnsiTheme="minorEastAsia"/>
                <w:b/>
                <w:kern w:val="0"/>
                <w:szCs w:val="21"/>
              </w:rPr>
            </w:pPr>
          </w:p>
        </w:tc>
        <w:tc>
          <w:tcPr>
            <w:tcW w:w="1011" w:type="dxa"/>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1分</w:t>
            </w:r>
          </w:p>
        </w:tc>
        <w:tc>
          <w:tcPr>
            <w:tcW w:w="4060" w:type="dxa"/>
            <w:vAlign w:val="center"/>
          </w:tcPr>
          <w:p>
            <w:pPr>
              <w:autoSpaceDE w:val="0"/>
              <w:autoSpaceDN w:val="0"/>
              <w:adjustRightInd w:val="0"/>
              <w:spacing w:line="300" w:lineRule="exact"/>
              <w:jc w:val="left"/>
              <w:rPr>
                <w:rFonts w:cs="宋体" w:asciiTheme="minorEastAsia" w:hAnsiTheme="minorEastAsia"/>
                <w:b/>
                <w:kern w:val="0"/>
                <w:szCs w:val="21"/>
              </w:rPr>
            </w:pPr>
            <w:r>
              <w:rPr>
                <w:rFonts w:hint="eastAsia" w:cs="宋体" w:asciiTheme="minorEastAsia" w:hAnsiTheme="minorEastAsia"/>
                <w:b/>
                <w:kern w:val="0"/>
                <w:szCs w:val="21"/>
              </w:rPr>
              <w:t>评价企业向社会公开承诺情况。</w:t>
            </w:r>
          </w:p>
        </w:tc>
        <w:tc>
          <w:tcPr>
            <w:tcW w:w="6834" w:type="dxa"/>
            <w:vAlign w:val="center"/>
          </w:tcPr>
          <w:p>
            <w:pPr>
              <w:autoSpaceDE w:val="0"/>
              <w:autoSpaceDN w:val="0"/>
              <w:adjustRightInd w:val="0"/>
              <w:spacing w:line="300" w:lineRule="exact"/>
              <w:jc w:val="left"/>
              <w:rPr>
                <w:rFonts w:cs="宋体" w:asciiTheme="minorEastAsia" w:hAnsiTheme="minorEastAsia"/>
                <w:b/>
                <w:kern w:val="0"/>
                <w:szCs w:val="21"/>
              </w:rPr>
            </w:pPr>
            <w:r>
              <w:rPr>
                <w:rFonts w:hint="eastAsia" w:cs="宋体" w:asciiTheme="minorEastAsia" w:hAnsiTheme="minorEastAsia"/>
                <w:b/>
                <w:kern w:val="0"/>
                <w:szCs w:val="21"/>
              </w:rPr>
              <w:t>企业向社会公开作出信用承诺得</w:t>
            </w:r>
            <w:r>
              <w:rPr>
                <w:rFonts w:cs="宋体" w:asciiTheme="minorEastAsia" w:hAnsiTheme="minorEastAsia"/>
                <w:b/>
                <w:kern w:val="0"/>
                <w:szCs w:val="21"/>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1" w:type="dxa"/>
            <w:vMerge w:val="continue"/>
            <w:tcBorders/>
          </w:tcPr>
          <w:p>
            <w:pPr>
              <w:autoSpaceDE w:val="0"/>
              <w:autoSpaceDN w:val="0"/>
              <w:adjustRightInd w:val="0"/>
              <w:spacing w:line="300" w:lineRule="exact"/>
              <w:jc w:val="center"/>
              <w:rPr>
                <w:rFonts w:cs="宋体" w:asciiTheme="minorEastAsia" w:hAnsiTheme="minorEastAsia"/>
                <w:b/>
                <w:kern w:val="0"/>
                <w:szCs w:val="21"/>
              </w:rPr>
            </w:pPr>
          </w:p>
        </w:tc>
        <w:tc>
          <w:tcPr>
            <w:tcW w:w="1276" w:type="dxa"/>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4.2</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企业</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自律表现</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（2</w:t>
            </w:r>
            <w:r>
              <w:rPr>
                <w:rFonts w:cs="宋体" w:asciiTheme="minorEastAsia" w:hAnsiTheme="minorEastAsia"/>
                <w:b/>
                <w:kern w:val="0"/>
                <w:szCs w:val="21"/>
              </w:rPr>
              <w:t>分）</w:t>
            </w:r>
          </w:p>
        </w:tc>
        <w:tc>
          <w:tcPr>
            <w:tcW w:w="1256" w:type="dxa"/>
            <w:vAlign w:val="center"/>
          </w:tcPr>
          <w:p>
            <w:pPr>
              <w:autoSpaceDE w:val="0"/>
              <w:autoSpaceDN w:val="0"/>
              <w:adjustRightInd w:val="0"/>
              <w:spacing w:line="300" w:lineRule="exact"/>
              <w:jc w:val="center"/>
              <w:rPr>
                <w:rFonts w:cs="宋体" w:asciiTheme="minorEastAsia" w:hAnsiTheme="minorEastAsia"/>
                <w:b/>
                <w:kern w:val="0"/>
                <w:szCs w:val="21"/>
              </w:rPr>
            </w:pPr>
          </w:p>
        </w:tc>
        <w:tc>
          <w:tcPr>
            <w:tcW w:w="1011" w:type="dxa"/>
            <w:vAlign w:val="center"/>
          </w:tcPr>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2</w:t>
            </w:r>
            <w:r>
              <w:rPr>
                <w:rFonts w:cs="宋体" w:asciiTheme="minorEastAsia" w:hAnsiTheme="minorEastAsia"/>
                <w:b/>
                <w:kern w:val="0"/>
                <w:szCs w:val="21"/>
              </w:rPr>
              <w:t>分</w:t>
            </w:r>
          </w:p>
        </w:tc>
        <w:tc>
          <w:tcPr>
            <w:tcW w:w="4060" w:type="dxa"/>
            <w:vAlign w:val="center"/>
          </w:tcPr>
          <w:p>
            <w:pPr>
              <w:autoSpaceDE w:val="0"/>
              <w:autoSpaceDN w:val="0"/>
              <w:adjustRightInd w:val="0"/>
              <w:spacing w:line="300" w:lineRule="exact"/>
              <w:jc w:val="left"/>
              <w:rPr>
                <w:rFonts w:cs="宋体" w:asciiTheme="minorEastAsia" w:hAnsiTheme="minorEastAsia"/>
                <w:b/>
                <w:kern w:val="0"/>
                <w:szCs w:val="21"/>
              </w:rPr>
            </w:pPr>
            <w:r>
              <w:rPr>
                <w:rFonts w:hint="eastAsia" w:cs="宋体" w:asciiTheme="minorEastAsia" w:hAnsiTheme="minorEastAsia"/>
                <w:b/>
                <w:kern w:val="0"/>
                <w:szCs w:val="21"/>
              </w:rPr>
              <w:t>评价企业在行业协会的相关信息及参加行业协会活动的信息。</w:t>
            </w:r>
          </w:p>
        </w:tc>
        <w:tc>
          <w:tcPr>
            <w:tcW w:w="6834" w:type="dxa"/>
            <w:vAlign w:val="center"/>
          </w:tcPr>
          <w:p>
            <w:pPr>
              <w:autoSpaceDE w:val="0"/>
              <w:autoSpaceDN w:val="0"/>
              <w:adjustRightInd w:val="0"/>
              <w:spacing w:line="300" w:lineRule="exact"/>
              <w:rPr>
                <w:rFonts w:cs="宋体" w:asciiTheme="minorEastAsia" w:hAnsiTheme="minorEastAsia"/>
                <w:b/>
                <w:kern w:val="0"/>
                <w:szCs w:val="21"/>
              </w:rPr>
            </w:pPr>
            <w:r>
              <w:rPr>
                <w:rFonts w:hint="eastAsia" w:cs="宋体" w:asciiTheme="minorEastAsia" w:hAnsiTheme="minorEastAsia"/>
                <w:b/>
                <w:kern w:val="0"/>
                <w:szCs w:val="21"/>
              </w:rPr>
              <w:t>企业是自治区房地产业协会会员单位，按时交纳会费、积极参加协会活动，无不良记录，得2</w:t>
            </w:r>
            <w:r>
              <w:rPr>
                <w:rFonts w:cs="宋体" w:asciiTheme="minorEastAsia" w:hAnsiTheme="minorEastAsia"/>
                <w:b/>
                <w:kern w:val="0"/>
                <w:szCs w:val="21"/>
              </w:rPr>
              <w:t>分；</w:t>
            </w:r>
            <w:r>
              <w:rPr>
                <w:rFonts w:hint="eastAsia" w:cs="宋体" w:asciiTheme="minorEastAsia" w:hAnsiTheme="minorEastAsia"/>
                <w:b/>
                <w:kern w:val="0"/>
                <w:szCs w:val="21"/>
              </w:rPr>
              <w:t>非会员单位得</w:t>
            </w:r>
            <w:r>
              <w:rPr>
                <w:rFonts w:cs="宋体" w:asciiTheme="minorEastAsia" w:hAnsiTheme="minorEastAsia"/>
                <w:b/>
                <w:kern w:val="0"/>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1" w:type="dxa"/>
            <w:vMerge w:val="continue"/>
            <w:tcBorders/>
          </w:tcPr>
          <w:p>
            <w:pPr>
              <w:autoSpaceDE w:val="0"/>
              <w:autoSpaceDN w:val="0"/>
              <w:adjustRightInd w:val="0"/>
              <w:spacing w:line="300" w:lineRule="exact"/>
              <w:jc w:val="center"/>
              <w:rPr>
                <w:rFonts w:cs="宋体" w:asciiTheme="minorEastAsia" w:hAnsiTheme="minorEastAsia"/>
                <w:b/>
                <w:kern w:val="0"/>
                <w:szCs w:val="21"/>
              </w:rPr>
            </w:pPr>
          </w:p>
        </w:tc>
        <w:tc>
          <w:tcPr>
            <w:tcW w:w="1276" w:type="dxa"/>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4.3</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参与全装修</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装配式建筑建设</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w:t>
            </w:r>
            <w:r>
              <w:rPr>
                <w:rFonts w:cs="宋体" w:asciiTheme="minorEastAsia" w:hAnsiTheme="minorEastAsia"/>
                <w:b/>
                <w:kern w:val="0"/>
                <w:szCs w:val="21"/>
              </w:rPr>
              <w:t>1分）</w:t>
            </w:r>
          </w:p>
        </w:tc>
        <w:tc>
          <w:tcPr>
            <w:tcW w:w="1256" w:type="dxa"/>
            <w:vAlign w:val="center"/>
          </w:tcPr>
          <w:p>
            <w:pPr>
              <w:widowControl/>
              <w:spacing w:line="300" w:lineRule="exact"/>
              <w:jc w:val="center"/>
              <w:rPr>
                <w:rFonts w:cs="宋体" w:asciiTheme="minorEastAsia" w:hAnsiTheme="minorEastAsia"/>
                <w:b/>
                <w:kern w:val="0"/>
                <w:szCs w:val="21"/>
              </w:rPr>
            </w:pPr>
          </w:p>
          <w:p>
            <w:pPr>
              <w:autoSpaceDE w:val="0"/>
              <w:autoSpaceDN w:val="0"/>
              <w:adjustRightInd w:val="0"/>
              <w:spacing w:line="300" w:lineRule="exact"/>
              <w:ind w:left="407"/>
              <w:jc w:val="center"/>
              <w:rPr>
                <w:rFonts w:cs="宋体" w:asciiTheme="minorEastAsia" w:hAnsiTheme="minorEastAsia"/>
                <w:b/>
                <w:kern w:val="0"/>
                <w:szCs w:val="21"/>
              </w:rPr>
            </w:pPr>
          </w:p>
          <w:p>
            <w:pPr>
              <w:autoSpaceDE w:val="0"/>
              <w:autoSpaceDN w:val="0"/>
              <w:adjustRightInd w:val="0"/>
              <w:spacing w:line="300" w:lineRule="exact"/>
              <w:jc w:val="center"/>
              <w:rPr>
                <w:rFonts w:cs="宋体" w:asciiTheme="minorEastAsia" w:hAnsiTheme="minorEastAsia"/>
                <w:b/>
                <w:kern w:val="0"/>
                <w:szCs w:val="21"/>
              </w:rPr>
            </w:pPr>
          </w:p>
        </w:tc>
        <w:tc>
          <w:tcPr>
            <w:tcW w:w="1011" w:type="dxa"/>
            <w:vAlign w:val="center"/>
          </w:tcPr>
          <w:p>
            <w:pPr>
              <w:autoSpaceDE w:val="0"/>
              <w:autoSpaceDN w:val="0"/>
              <w:adjustRightInd w:val="0"/>
              <w:spacing w:line="300" w:lineRule="exact"/>
              <w:jc w:val="center"/>
              <w:rPr>
                <w:rFonts w:cs="宋体" w:asciiTheme="minorEastAsia" w:hAnsiTheme="minorEastAsia"/>
                <w:b/>
                <w:kern w:val="0"/>
                <w:szCs w:val="21"/>
              </w:rPr>
            </w:pPr>
            <w:r>
              <w:rPr>
                <w:rFonts w:cs="宋体" w:asciiTheme="minorEastAsia" w:hAnsiTheme="minorEastAsia"/>
                <w:b/>
                <w:kern w:val="0"/>
                <w:szCs w:val="21"/>
              </w:rPr>
              <w:t>1分</w:t>
            </w:r>
          </w:p>
        </w:tc>
        <w:tc>
          <w:tcPr>
            <w:tcW w:w="4060" w:type="dxa"/>
            <w:vAlign w:val="center"/>
          </w:tcPr>
          <w:p>
            <w:pPr>
              <w:autoSpaceDE w:val="0"/>
              <w:autoSpaceDN w:val="0"/>
              <w:adjustRightInd w:val="0"/>
              <w:spacing w:line="300" w:lineRule="exact"/>
              <w:jc w:val="left"/>
              <w:rPr>
                <w:rFonts w:cs="宋体" w:asciiTheme="minorEastAsia" w:hAnsiTheme="minorEastAsia"/>
                <w:b/>
                <w:kern w:val="0"/>
                <w:szCs w:val="21"/>
              </w:rPr>
            </w:pPr>
            <w:r>
              <w:rPr>
                <w:rFonts w:hint="eastAsia" w:cs="宋体" w:asciiTheme="minorEastAsia" w:hAnsiTheme="minorEastAsia"/>
                <w:b/>
                <w:kern w:val="0"/>
                <w:szCs w:val="21"/>
              </w:rPr>
              <w:t>评价企业对全装修、装配式建筑建设的参与情况。</w:t>
            </w:r>
          </w:p>
        </w:tc>
        <w:tc>
          <w:tcPr>
            <w:tcW w:w="6834" w:type="dxa"/>
            <w:vAlign w:val="center"/>
          </w:tcPr>
          <w:p>
            <w:pPr>
              <w:autoSpaceDE w:val="0"/>
              <w:autoSpaceDN w:val="0"/>
              <w:adjustRightInd w:val="0"/>
              <w:spacing w:line="300" w:lineRule="exact"/>
              <w:rPr>
                <w:rFonts w:cs="宋体" w:asciiTheme="minorEastAsia" w:hAnsiTheme="minorEastAsia"/>
                <w:b/>
                <w:kern w:val="0"/>
                <w:szCs w:val="21"/>
              </w:rPr>
            </w:pPr>
            <w:r>
              <w:rPr>
                <w:rFonts w:hint="eastAsia" w:cs="宋体" w:asciiTheme="minorEastAsia" w:hAnsiTheme="minorEastAsia"/>
                <w:b/>
                <w:kern w:val="0"/>
                <w:szCs w:val="21"/>
              </w:rPr>
              <w:t>企业近三年参与全装修、装配式建筑建设得</w:t>
            </w:r>
            <w:r>
              <w:rPr>
                <w:rFonts w:cs="宋体" w:asciiTheme="minorEastAsia" w:hAnsiTheme="minorEastAsia"/>
                <w:b/>
                <w:kern w:val="0"/>
                <w:szCs w:val="21"/>
              </w:rPr>
              <w:t>1分；</w:t>
            </w:r>
          </w:p>
          <w:p>
            <w:pPr>
              <w:autoSpaceDE w:val="0"/>
              <w:autoSpaceDN w:val="0"/>
              <w:adjustRightInd w:val="0"/>
              <w:spacing w:line="300" w:lineRule="exact"/>
              <w:rPr>
                <w:rFonts w:cs="宋体" w:asciiTheme="minorEastAsia" w:hAnsiTheme="minorEastAsia"/>
                <w:b/>
                <w:kern w:val="0"/>
                <w:szCs w:val="21"/>
              </w:rPr>
            </w:pPr>
            <w:r>
              <w:rPr>
                <w:rFonts w:hint="eastAsia" w:cs="宋体" w:asciiTheme="minorEastAsia" w:hAnsiTheme="minorEastAsia"/>
                <w:b/>
                <w:kern w:val="0"/>
                <w:szCs w:val="21"/>
              </w:rPr>
              <w:t>企业通过间接投资、参股等方式参与装配式建筑建设得</w:t>
            </w:r>
            <w:r>
              <w:rPr>
                <w:rFonts w:cs="宋体" w:asciiTheme="minorEastAsia" w:hAnsiTheme="minorEastAsia"/>
                <w:b/>
                <w:kern w:val="0"/>
                <w:szCs w:val="21"/>
              </w:rPr>
              <w:t>0.8分；</w:t>
            </w:r>
          </w:p>
          <w:p>
            <w:pPr>
              <w:autoSpaceDE w:val="0"/>
              <w:autoSpaceDN w:val="0"/>
              <w:adjustRightInd w:val="0"/>
              <w:spacing w:line="300" w:lineRule="exact"/>
              <w:rPr>
                <w:rFonts w:cs="宋体" w:asciiTheme="minorEastAsia" w:hAnsiTheme="minorEastAsia"/>
                <w:b/>
                <w:kern w:val="0"/>
                <w:szCs w:val="21"/>
              </w:rPr>
            </w:pPr>
            <w:r>
              <w:rPr>
                <w:rFonts w:hint="eastAsia" w:cs="宋体" w:asciiTheme="minorEastAsia" w:hAnsiTheme="minorEastAsia"/>
                <w:b/>
                <w:kern w:val="0"/>
                <w:szCs w:val="21"/>
              </w:rPr>
              <w:t>参与过保障房、装配式建筑建设投标但未中标得</w:t>
            </w:r>
            <w:r>
              <w:rPr>
                <w:rFonts w:cs="宋体" w:asciiTheme="minorEastAsia" w:hAnsiTheme="minorEastAsia"/>
                <w:b/>
                <w:kern w:val="0"/>
                <w:szCs w:val="21"/>
              </w:rPr>
              <w:t>0.5分；</w:t>
            </w:r>
          </w:p>
          <w:p>
            <w:pPr>
              <w:autoSpaceDE w:val="0"/>
              <w:autoSpaceDN w:val="0"/>
              <w:adjustRightInd w:val="0"/>
              <w:spacing w:line="300" w:lineRule="exact"/>
              <w:rPr>
                <w:rFonts w:cs="宋体" w:asciiTheme="minorEastAsia" w:hAnsiTheme="minorEastAsia"/>
                <w:b/>
                <w:kern w:val="0"/>
                <w:szCs w:val="21"/>
              </w:rPr>
            </w:pPr>
            <w:r>
              <w:rPr>
                <w:rFonts w:hint="eastAsia" w:cs="宋体" w:asciiTheme="minorEastAsia" w:hAnsiTheme="minorEastAsia"/>
                <w:b/>
                <w:kern w:val="0"/>
                <w:szCs w:val="21"/>
              </w:rPr>
              <w:t>未以任何形式参与过保障房、装配式建筑建设得</w:t>
            </w:r>
            <w:r>
              <w:rPr>
                <w:rFonts w:cs="宋体" w:asciiTheme="minorEastAsia" w:hAnsiTheme="minorEastAsia"/>
                <w:b/>
                <w:kern w:val="0"/>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1" w:type="dxa"/>
            <w:vMerge w:val="continue"/>
            <w:tcBorders/>
          </w:tcPr>
          <w:p>
            <w:pPr>
              <w:autoSpaceDE w:val="0"/>
              <w:autoSpaceDN w:val="0"/>
              <w:adjustRightInd w:val="0"/>
              <w:spacing w:line="300" w:lineRule="exact"/>
              <w:jc w:val="center"/>
              <w:rPr>
                <w:rFonts w:cs="宋体" w:asciiTheme="minorEastAsia" w:hAnsiTheme="minorEastAsia"/>
                <w:b/>
                <w:kern w:val="0"/>
                <w:szCs w:val="21"/>
              </w:rPr>
            </w:pPr>
          </w:p>
        </w:tc>
        <w:tc>
          <w:tcPr>
            <w:tcW w:w="1276" w:type="dxa"/>
            <w:vAlign w:val="center"/>
          </w:tcPr>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4.4</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绿色建筑</w:t>
            </w:r>
          </w:p>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与环保节能</w:t>
            </w:r>
          </w:p>
        </w:tc>
        <w:tc>
          <w:tcPr>
            <w:tcW w:w="1256" w:type="dxa"/>
            <w:vAlign w:val="center"/>
          </w:tcPr>
          <w:p>
            <w:pPr>
              <w:widowControl/>
              <w:spacing w:line="300" w:lineRule="exact"/>
              <w:jc w:val="center"/>
              <w:rPr>
                <w:rFonts w:cs="宋体" w:asciiTheme="minorEastAsia" w:hAnsiTheme="minorEastAsia"/>
                <w:b/>
                <w:kern w:val="0"/>
                <w:szCs w:val="21"/>
              </w:rPr>
            </w:pPr>
          </w:p>
        </w:tc>
        <w:tc>
          <w:tcPr>
            <w:tcW w:w="1011" w:type="dxa"/>
            <w:vAlign w:val="center"/>
          </w:tcPr>
          <w:p>
            <w:pPr>
              <w:autoSpaceDE w:val="0"/>
              <w:autoSpaceDN w:val="0"/>
              <w:adjustRightInd w:val="0"/>
              <w:spacing w:line="300" w:lineRule="exact"/>
              <w:jc w:val="center"/>
              <w:rPr>
                <w:rFonts w:cs="宋体" w:asciiTheme="minorEastAsia" w:hAnsiTheme="minorEastAsia"/>
                <w:b/>
                <w:kern w:val="0"/>
                <w:szCs w:val="21"/>
              </w:rPr>
            </w:pPr>
            <w:r>
              <w:rPr>
                <w:rFonts w:hint="eastAsia" w:cs="宋体" w:asciiTheme="minorEastAsia" w:hAnsiTheme="minorEastAsia"/>
                <w:b/>
                <w:kern w:val="0"/>
                <w:szCs w:val="21"/>
              </w:rPr>
              <w:t>1分</w:t>
            </w:r>
          </w:p>
        </w:tc>
        <w:tc>
          <w:tcPr>
            <w:tcW w:w="4060" w:type="dxa"/>
            <w:vAlign w:val="center"/>
          </w:tcPr>
          <w:p>
            <w:pPr>
              <w:autoSpaceDE w:val="0"/>
              <w:autoSpaceDN w:val="0"/>
              <w:adjustRightInd w:val="0"/>
              <w:spacing w:line="300" w:lineRule="exact"/>
              <w:jc w:val="left"/>
              <w:rPr>
                <w:rFonts w:cs="宋体" w:asciiTheme="minorEastAsia" w:hAnsiTheme="minorEastAsia"/>
                <w:b/>
                <w:kern w:val="0"/>
                <w:szCs w:val="21"/>
              </w:rPr>
            </w:pPr>
            <w:r>
              <w:rPr>
                <w:rFonts w:hint="eastAsia" w:cs="宋体" w:asciiTheme="minorEastAsia" w:hAnsiTheme="minorEastAsia"/>
                <w:b/>
                <w:kern w:val="0"/>
                <w:szCs w:val="21"/>
              </w:rPr>
              <w:t>评价企业在绿色建筑与环保节能方面的情况，包括绿色节能材料的应用，施工过程中节能、节水、减排措施的应用等。</w:t>
            </w:r>
          </w:p>
        </w:tc>
        <w:tc>
          <w:tcPr>
            <w:tcW w:w="6834" w:type="dxa"/>
            <w:vAlign w:val="center"/>
          </w:tcPr>
          <w:p>
            <w:pPr>
              <w:autoSpaceDE w:val="0"/>
              <w:autoSpaceDN w:val="0"/>
              <w:adjustRightInd w:val="0"/>
              <w:spacing w:line="300" w:lineRule="exact"/>
              <w:rPr>
                <w:rFonts w:cs="宋体" w:asciiTheme="minorEastAsia" w:hAnsiTheme="minorEastAsia"/>
                <w:b/>
                <w:kern w:val="0"/>
                <w:szCs w:val="21"/>
              </w:rPr>
            </w:pPr>
            <w:r>
              <w:rPr>
                <w:rFonts w:hint="eastAsia" w:cs="宋体" w:asciiTheme="minorEastAsia" w:hAnsiTheme="minorEastAsia"/>
                <w:b/>
                <w:kern w:val="0"/>
                <w:szCs w:val="21"/>
              </w:rPr>
              <w:t>当地政府有要求且已应用了绿色建筑与环保节能措施的企业或在设计施工中获得省、部级以上国家行政主管部门认定的绿色节能建筑证书，得1分；</w:t>
            </w:r>
          </w:p>
          <w:p>
            <w:pPr>
              <w:autoSpaceDE w:val="0"/>
              <w:autoSpaceDN w:val="0"/>
              <w:adjustRightInd w:val="0"/>
              <w:spacing w:line="300" w:lineRule="exact"/>
              <w:rPr>
                <w:rFonts w:cs="宋体" w:asciiTheme="minorEastAsia" w:hAnsiTheme="minorEastAsia"/>
                <w:b/>
                <w:kern w:val="0"/>
                <w:szCs w:val="21"/>
              </w:rPr>
            </w:pPr>
            <w:r>
              <w:rPr>
                <w:rFonts w:hint="eastAsia" w:cs="宋体" w:asciiTheme="minorEastAsia" w:hAnsiTheme="minorEastAsia"/>
                <w:b/>
                <w:kern w:val="0"/>
                <w:szCs w:val="21"/>
              </w:rPr>
              <w:t>获得地级市行政主管部门认定或批准的绿色节能建筑证书，得0.5分；</w:t>
            </w:r>
          </w:p>
          <w:p>
            <w:pPr>
              <w:autoSpaceDE w:val="0"/>
              <w:autoSpaceDN w:val="0"/>
              <w:adjustRightInd w:val="0"/>
              <w:spacing w:line="300" w:lineRule="exact"/>
              <w:rPr>
                <w:rFonts w:cs="宋体" w:asciiTheme="minorEastAsia" w:hAnsiTheme="minorEastAsia"/>
                <w:b/>
                <w:kern w:val="0"/>
                <w:szCs w:val="21"/>
              </w:rPr>
            </w:pPr>
            <w:r>
              <w:rPr>
                <w:rFonts w:hint="eastAsia" w:cs="宋体" w:asciiTheme="minorEastAsia" w:hAnsiTheme="minorEastAsia"/>
                <w:b/>
                <w:kern w:val="0"/>
                <w:szCs w:val="21"/>
              </w:rPr>
              <w:t>未获得行政主管部门认定或批准的绿色节能建筑证书，得0分。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1" w:type="dxa"/>
            <w:vMerge w:val="continue"/>
            <w:tcBorders/>
          </w:tcPr>
          <w:p>
            <w:pPr>
              <w:autoSpaceDE w:val="0"/>
              <w:autoSpaceDN w:val="0"/>
              <w:adjustRightInd w:val="0"/>
              <w:spacing w:line="300" w:lineRule="exact"/>
              <w:jc w:val="center"/>
              <w:rPr>
                <w:rFonts w:cs="宋体" w:asciiTheme="minorEastAsia" w:hAnsiTheme="minorEastAsia"/>
                <w:b/>
                <w:kern w:val="0"/>
                <w:szCs w:val="21"/>
              </w:rPr>
            </w:pPr>
          </w:p>
        </w:tc>
        <w:tc>
          <w:tcPr>
            <w:tcW w:w="1276" w:type="dxa"/>
            <w:vAlign w:val="center"/>
          </w:tcPr>
          <w:p>
            <w:pPr>
              <w:autoSpaceDE w:val="0"/>
              <w:autoSpaceDN w:val="0"/>
              <w:adjustRightInd w:val="0"/>
              <w:spacing w:line="300" w:lineRule="exact"/>
              <w:jc w:val="center"/>
              <w:rPr>
                <w:rFonts w:hint="eastAsia" w:cs="宋体" w:asciiTheme="minorEastAsia" w:hAnsiTheme="minorEastAsia"/>
                <w:b/>
                <w:kern w:val="0"/>
                <w:szCs w:val="21"/>
                <w:lang w:val="en-US" w:eastAsia="zh-CN"/>
              </w:rPr>
            </w:pPr>
            <w:r>
              <w:rPr>
                <w:rFonts w:hint="eastAsia" w:cs="宋体" w:asciiTheme="minorEastAsia" w:hAnsiTheme="minorEastAsia"/>
                <w:b/>
                <w:kern w:val="0"/>
                <w:szCs w:val="21"/>
                <w:lang w:val="en-US" w:eastAsia="zh-CN"/>
              </w:rPr>
              <w:t>4.5</w:t>
            </w:r>
          </w:p>
          <w:p>
            <w:pPr>
              <w:autoSpaceDE w:val="0"/>
              <w:autoSpaceDN w:val="0"/>
              <w:adjustRightInd w:val="0"/>
              <w:spacing w:line="300" w:lineRule="exact"/>
              <w:jc w:val="center"/>
              <w:rPr>
                <w:rFonts w:hint="eastAsia" w:cs="宋体" w:asciiTheme="minorEastAsia" w:hAnsiTheme="minorEastAsia"/>
                <w:b/>
                <w:kern w:val="0"/>
                <w:szCs w:val="21"/>
                <w:lang w:val="en-US" w:eastAsia="zh-CN"/>
              </w:rPr>
            </w:pPr>
            <w:r>
              <w:rPr>
                <w:rFonts w:hint="eastAsia" w:cs="宋体" w:asciiTheme="minorEastAsia" w:hAnsiTheme="minorEastAsia"/>
                <w:b/>
                <w:kern w:val="0"/>
                <w:szCs w:val="21"/>
                <w:lang w:val="en-US" w:eastAsia="zh-CN"/>
              </w:rPr>
              <w:t>住建厅信用体系评分</w:t>
            </w:r>
          </w:p>
        </w:tc>
        <w:tc>
          <w:tcPr>
            <w:tcW w:w="1256" w:type="dxa"/>
            <w:vAlign w:val="center"/>
          </w:tcPr>
          <w:p>
            <w:pPr>
              <w:widowControl/>
              <w:spacing w:line="300" w:lineRule="exact"/>
              <w:jc w:val="center"/>
              <w:rPr>
                <w:rFonts w:cs="宋体" w:asciiTheme="minorEastAsia" w:hAnsiTheme="minorEastAsia"/>
                <w:b/>
                <w:kern w:val="0"/>
                <w:szCs w:val="21"/>
              </w:rPr>
            </w:pPr>
          </w:p>
        </w:tc>
        <w:tc>
          <w:tcPr>
            <w:tcW w:w="1011" w:type="dxa"/>
            <w:vAlign w:val="center"/>
          </w:tcPr>
          <w:p>
            <w:pPr>
              <w:autoSpaceDE w:val="0"/>
              <w:autoSpaceDN w:val="0"/>
              <w:adjustRightInd w:val="0"/>
              <w:spacing w:line="300" w:lineRule="exact"/>
              <w:jc w:val="center"/>
              <w:rPr>
                <w:rFonts w:hint="eastAsia" w:cs="宋体" w:asciiTheme="minorEastAsia" w:hAnsiTheme="minorEastAsia" w:eastAsiaTheme="minorEastAsia"/>
                <w:b/>
                <w:kern w:val="0"/>
                <w:szCs w:val="21"/>
                <w:lang w:val="en-US" w:eastAsia="zh-CN"/>
              </w:rPr>
            </w:pPr>
            <w:r>
              <w:rPr>
                <w:rFonts w:hint="eastAsia" w:cs="宋体" w:asciiTheme="minorEastAsia" w:hAnsiTheme="minorEastAsia"/>
                <w:b/>
                <w:kern w:val="0"/>
                <w:szCs w:val="21"/>
                <w:lang w:val="en-US" w:eastAsia="zh-CN"/>
              </w:rPr>
              <w:t>2分</w:t>
            </w:r>
          </w:p>
        </w:tc>
        <w:tc>
          <w:tcPr>
            <w:tcW w:w="4060" w:type="dxa"/>
            <w:vAlign w:val="center"/>
          </w:tcPr>
          <w:p>
            <w:pPr>
              <w:autoSpaceDE w:val="0"/>
              <w:autoSpaceDN w:val="0"/>
              <w:adjustRightInd w:val="0"/>
              <w:spacing w:line="300" w:lineRule="exact"/>
              <w:jc w:val="left"/>
              <w:rPr>
                <w:rFonts w:hint="eastAsia" w:cs="宋体" w:asciiTheme="minorEastAsia" w:hAnsiTheme="minorEastAsia" w:eastAsiaTheme="minorEastAsia"/>
                <w:b/>
                <w:kern w:val="0"/>
                <w:szCs w:val="21"/>
                <w:lang w:val="en-US" w:eastAsia="zh-CN"/>
              </w:rPr>
            </w:pPr>
            <w:r>
              <w:rPr>
                <w:rFonts w:hint="eastAsia" w:cs="宋体" w:asciiTheme="minorEastAsia" w:hAnsiTheme="minorEastAsia"/>
                <w:b/>
                <w:kern w:val="0"/>
                <w:szCs w:val="21"/>
                <w:lang w:val="en-US" w:eastAsia="zh-CN"/>
              </w:rPr>
              <w:t>评价企业在住建厅信用体系中评分情况。</w:t>
            </w:r>
          </w:p>
        </w:tc>
        <w:tc>
          <w:tcPr>
            <w:tcW w:w="6834" w:type="dxa"/>
            <w:vAlign w:val="center"/>
          </w:tcPr>
          <w:p>
            <w:pPr>
              <w:autoSpaceDE w:val="0"/>
              <w:autoSpaceDN w:val="0"/>
              <w:adjustRightInd w:val="0"/>
              <w:spacing w:line="300" w:lineRule="exact"/>
              <w:rPr>
                <w:rFonts w:hint="eastAsia" w:cs="宋体" w:asciiTheme="minorEastAsia" w:hAnsiTheme="minorEastAsia"/>
                <w:b/>
                <w:kern w:val="0"/>
                <w:szCs w:val="21"/>
              </w:rPr>
            </w:pPr>
            <w:r>
              <w:rPr>
                <w:rFonts w:hint="eastAsia" w:cs="宋体" w:asciiTheme="minorEastAsia" w:hAnsiTheme="minorEastAsia"/>
                <w:b/>
                <w:kern w:val="0"/>
                <w:szCs w:val="21"/>
                <w:lang w:val="en-US" w:eastAsia="zh-CN"/>
              </w:rPr>
              <w:t>企业在住建厅信用体系中评分为AA级以上。</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63713"/>
    <w:rsid w:val="00007C93"/>
    <w:rsid w:val="000B4975"/>
    <w:rsid w:val="003C0EEF"/>
    <w:rsid w:val="00514EF2"/>
    <w:rsid w:val="005A0547"/>
    <w:rsid w:val="00614140"/>
    <w:rsid w:val="00681F8B"/>
    <w:rsid w:val="007839FA"/>
    <w:rsid w:val="00823D87"/>
    <w:rsid w:val="00834615"/>
    <w:rsid w:val="00903E4E"/>
    <w:rsid w:val="00921534"/>
    <w:rsid w:val="00A52729"/>
    <w:rsid w:val="00A75E12"/>
    <w:rsid w:val="00AC19C0"/>
    <w:rsid w:val="00B1015C"/>
    <w:rsid w:val="00BB5829"/>
    <w:rsid w:val="00C062BA"/>
    <w:rsid w:val="00C47E9A"/>
    <w:rsid w:val="00C63713"/>
    <w:rsid w:val="00D107E6"/>
    <w:rsid w:val="00E51012"/>
    <w:rsid w:val="00E814A1"/>
    <w:rsid w:val="00FD2DF9"/>
    <w:rsid w:val="053C1BB9"/>
    <w:rsid w:val="442B526F"/>
    <w:rsid w:val="49D16576"/>
    <w:rsid w:val="74455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1"/>
    <w:semiHidden/>
    <w:unhideWhenUsed/>
    <w:qFormat/>
    <w:uiPriority w:val="99"/>
    <w:pPr>
      <w:jc w:val="left"/>
    </w:pPr>
  </w:style>
  <w:style w:type="paragraph" w:styleId="3">
    <w:name w:val="Balloon Text"/>
    <w:basedOn w:val="1"/>
    <w:link w:val="12"/>
    <w:semiHidden/>
    <w:unhideWhenUsed/>
    <w:qFormat/>
    <w:uiPriority w:val="99"/>
    <w:rPr>
      <w:sz w:val="18"/>
      <w:szCs w:val="18"/>
    </w:rPr>
  </w:style>
  <w:style w:type="paragraph" w:styleId="4">
    <w:name w:val="footer"/>
    <w:basedOn w:val="1"/>
    <w:link w:val="10"/>
    <w:semiHidden/>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basedOn w:val="6"/>
    <w:link w:val="5"/>
    <w:semiHidden/>
    <w:qFormat/>
    <w:uiPriority w:val="99"/>
    <w:rPr>
      <w:sz w:val="18"/>
      <w:szCs w:val="18"/>
    </w:rPr>
  </w:style>
  <w:style w:type="character" w:customStyle="1" w:styleId="10">
    <w:name w:val="页脚 Char"/>
    <w:basedOn w:val="6"/>
    <w:link w:val="4"/>
    <w:semiHidden/>
    <w:qFormat/>
    <w:uiPriority w:val="99"/>
    <w:rPr>
      <w:sz w:val="18"/>
      <w:szCs w:val="18"/>
    </w:rPr>
  </w:style>
  <w:style w:type="character" w:customStyle="1" w:styleId="11">
    <w:name w:val="批注文字 Char"/>
    <w:basedOn w:val="6"/>
    <w:link w:val="2"/>
    <w:semiHidden/>
    <w:qFormat/>
    <w:uiPriority w:val="99"/>
  </w:style>
  <w:style w:type="character" w:customStyle="1" w:styleId="12">
    <w:name w:val="批注框文本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1021</Words>
  <Characters>5822</Characters>
  <Lines>48</Lines>
  <Paragraphs>13</Paragraphs>
  <TotalTime>1</TotalTime>
  <ScaleCrop>false</ScaleCrop>
  <LinksUpToDate>false</LinksUpToDate>
  <CharactersWithSpaces>6830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2020-11-17T02:32:00Z</dcterms:created>
  <dc:creator>GZ</dc:creator>
  <cp:lastModifiedBy>GZ</cp:lastModifiedBy>
  <dcterms:modified xsi:type="dcterms:W3CDTF">2022-03-14T06:39:03Z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