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内蒙古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房地产开发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企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业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综合实力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50强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评选实施办法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为进一步在我区房地产行业中树立先进典型，</w:t>
      </w:r>
      <w:r>
        <w:rPr>
          <w:rFonts w:hint="eastAsia" w:ascii="仿宋" w:hAnsi="仿宋" w:eastAsia="仿宋" w:cs="仿宋"/>
          <w:sz w:val="32"/>
          <w:szCs w:val="32"/>
        </w:rPr>
        <w:t>扩大我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企业在社会的影响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同时，倡导企业诚实守信，规范企业经营行为，提升企业的品牌意识，提高企业的社会责任感，推动全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房地产开发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</w:t>
      </w:r>
      <w:r>
        <w:rPr>
          <w:rFonts w:hint="eastAsia" w:ascii="仿宋" w:hAnsi="仿宋" w:eastAsia="仿宋" w:cs="仿宋"/>
          <w:sz w:val="32"/>
          <w:szCs w:val="32"/>
        </w:rPr>
        <w:t>业创新与转型升级，促进企业做大、做强、做优。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经研究，决定开展内蒙古自治区房地产企业综合实力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50强评选活动。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一、目的和意义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综合实力评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活动，旨在推出一批知名企业、品牌企业，发挥典型的示范、引领作用，激发企业创新创造活力，不断提高企业的规模化、专业化、品牌化水平，加快转变房地产企业发展模式，增强行业整体实力。通过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此项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活动，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充分展示我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房地产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开发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企业的良好形象、综合实力、社会贡献，树立我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房地产行业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优秀品牌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二、组织原则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评选工作坚持</w:t>
      </w:r>
      <w:r>
        <w:rPr>
          <w:rFonts w:hint="eastAsia" w:ascii="仿宋" w:hAnsi="仿宋" w:eastAsia="仿宋" w:cs="仿宋"/>
          <w:sz w:val="32"/>
          <w:szCs w:val="32"/>
        </w:rPr>
        <w:t>公开、公平、公正的原则，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坚持会员单位自愿申报的原则，坚持高标准、严要求、优中选优的原则。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三、参评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具有房地产</w:t>
      </w:r>
      <w:r>
        <w:rPr>
          <w:rFonts w:hint="eastAsia" w:ascii="仿宋" w:hAnsi="仿宋" w:eastAsia="仿宋" w:cs="仿宋"/>
          <w:sz w:val="32"/>
          <w:szCs w:val="32"/>
        </w:rPr>
        <w:t>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内蒙古房地产业协会会员单位</w:t>
      </w:r>
      <w:r>
        <w:rPr>
          <w:rFonts w:hint="eastAsia" w:ascii="仿宋" w:hAnsi="仿宋" w:eastAsia="仿宋" w:cs="仿宋"/>
          <w:sz w:val="32"/>
          <w:szCs w:val="32"/>
        </w:rPr>
        <w:t>均可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申报参评</w:t>
      </w:r>
      <w:r>
        <w:rPr>
          <w:rFonts w:hint="eastAsia" w:ascii="仿宋" w:hAnsi="仿宋" w:eastAsia="仿宋" w:cs="仿宋"/>
          <w:sz w:val="32"/>
          <w:szCs w:val="32"/>
        </w:rPr>
        <w:t>。已成立企业集团且该企业集团以房地产开发为主业，原则上以企业集团为单位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申报参评(</w:t>
      </w:r>
      <w:r>
        <w:rPr>
          <w:rFonts w:hint="eastAsia" w:ascii="仿宋" w:hAnsi="仿宋" w:eastAsia="仿宋" w:cs="仿宋"/>
          <w:sz w:val="32"/>
          <w:szCs w:val="32"/>
        </w:rPr>
        <w:t>企业集团的控股子公司、全资子公司、参股子公司的业绩可按公司所占股份比例计入集团公司一并计算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)其成员企业不再参加评选。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参评企业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从事房地产开发3年及以上，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且累计开发面积达到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10万㎡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在开发规模、建筑节能、产品质量、经营业绩、诚实守信等方面具有较强的优势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；要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积极承担社会责任，热心公益事业，具有较高的知名度、信誉度和良好的公众形象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；要</w:t>
      </w:r>
      <w:r>
        <w:rPr>
          <w:rFonts w:hint="eastAsia" w:ascii="仿宋" w:hAnsi="仿宋" w:eastAsia="仿宋" w:cs="仿宋"/>
          <w:sz w:val="32"/>
          <w:szCs w:val="32"/>
        </w:rPr>
        <w:t>有较强的核心竞争力、有突出的企业文化和创新精神。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诚信经营，在开发经营过程中没有发生过违法违规行为。有下列情形之一的，不得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申报参评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sz w:val="32"/>
          <w:szCs w:val="32"/>
        </w:rPr>
        <w:t>当年度发生重大质量、安全事故的；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在开发经营中</w:t>
      </w:r>
      <w:r>
        <w:rPr>
          <w:rFonts w:hint="eastAsia" w:ascii="仿宋" w:hAnsi="仿宋" w:eastAsia="仿宋" w:cs="仿宋"/>
          <w:sz w:val="32"/>
          <w:szCs w:val="32"/>
        </w:rPr>
        <w:t>有违纪违规行为，受到相关主管部门通报批评、处罚的；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sz w:val="32"/>
          <w:szCs w:val="32"/>
        </w:rPr>
        <w:t>发生重大消费者投诉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、拖欠工程款的，</w:t>
      </w:r>
      <w:r>
        <w:rPr>
          <w:rFonts w:hint="eastAsia" w:ascii="仿宋" w:hAnsi="仿宋" w:eastAsia="仿宋" w:cs="仿宋"/>
          <w:sz w:val="32"/>
          <w:szCs w:val="32"/>
        </w:rPr>
        <w:t>在社会上造成不良影响的；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sz w:val="32"/>
          <w:szCs w:val="32"/>
        </w:rPr>
        <w:t>被列入税务黑名单的。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四、评选程序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1.企业申报；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各盟市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房协组织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初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审、确定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3.上报内蒙古房地产业协会；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4.内蒙古房地产业协会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组织评审、确定候选企业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盟市房协不做初评活动的，参评企业可直接报内蒙古房地产业协会。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五、评价指标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20" w:firstLineChars="0"/>
        <w:textAlignment w:val="auto"/>
        <w:outlineLvl w:val="9"/>
        <w:rPr>
          <w:rFonts w:hint="eastAsia" w:ascii="楷体" w:hAnsi="楷体" w:eastAsia="楷体" w:cs="楷体"/>
          <w:b/>
          <w:bCs/>
          <w:color w:val="242424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42424"/>
          <w:kern w:val="0"/>
          <w:sz w:val="32"/>
          <w:szCs w:val="32"/>
        </w:rPr>
        <w:t>评价指标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经济类指标及其权数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分值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权数为50%，50分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年度销售收入权数5%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企业净资产权数10%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年度在建面积权数10%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年度竣工面积权数1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年度销售面积权数1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管理质量类指标及其权数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分值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权数为50%，50分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企业行业信用等级权数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企业银行信用等级权数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成长潜力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包括销售增长能力、利润增长能力、资本增长能力、资源储备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)，</w:t>
      </w:r>
      <w:r>
        <w:rPr>
          <w:rFonts w:hint="eastAsia" w:ascii="仿宋" w:hAnsi="仿宋" w:eastAsia="仿宋" w:cs="仿宋"/>
          <w:sz w:val="32"/>
          <w:szCs w:val="32"/>
        </w:rPr>
        <w:t>权重为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sz w:val="32"/>
          <w:szCs w:val="32"/>
        </w:rPr>
        <w:t>创新能力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包括营运创新、产品创新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，权重为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"/>
          <w:sz w:val="32"/>
          <w:szCs w:val="32"/>
        </w:rPr>
        <w:t>社会责任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包括经济责任、保障责任、慈善道德责任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，权重为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</w:t>
      </w:r>
      <w:r>
        <w:rPr>
          <w:rFonts w:hint="eastAsia" w:ascii="仿宋" w:hAnsi="仿宋" w:eastAsia="仿宋" w:cs="仿宋"/>
          <w:sz w:val="32"/>
          <w:szCs w:val="32"/>
        </w:rPr>
        <w:t>市场行为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包括企业诚信、行为规范、履约状况、前期物业管理等行为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，权重为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(7)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开发项目获奖情况权数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% 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(8)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开发项目全过程监管执行情况权数5%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9"/>
        <w:rPr>
          <w:rFonts w:hint="eastAsia" w:ascii="楷体" w:hAnsi="楷体" w:eastAsia="楷体" w:cs="楷体"/>
          <w:b/>
          <w:bCs/>
          <w:color w:val="242424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42424"/>
          <w:kern w:val="0"/>
          <w:sz w:val="32"/>
          <w:szCs w:val="32"/>
        </w:rPr>
        <w:t>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</w:rPr>
        <w:t>经济类指标的计算方法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按照参评企业的条件，拟定出候评企业，然后分别计算出候评企业经济类指标的平均值，以每个候评企业经济类指标值分别除以相应的平均值，得出分值系数，再将分值系数乘以权数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分值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后相加，得出该企业的经济类指标分值。计算公式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以年度销售收入指标为例，其余指标同样计算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指标分值＝年度销售收入÷候评企业销售收入平均值×销售收入所占的权数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房地产开发企业评价年度的开发业绩和开发建设行为，包括异地开发业绩(指在异地以控股子公司、全资子公司注册的企业，参股子公司不含在其中)。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</w:rPr>
        <w:t>管理质量类指标计算方法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企业信用等级评定为AAA的得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分，AA的得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分，A的得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分，其他不得分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企业银行信用等级为AAA的得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分，AA得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分，A得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分，没有得0分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成长潜力、创新能力、社会责任、市场行为依据专家打分；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开发项目的获奖年度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为评选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年度，获奖层次为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自治区级及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部级奖项。部级奖项，每项得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；自治区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级奖项，每项得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；最后总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分不能超过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5分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开发项目配套设施符合规划要求、按照有关规定做好预售及资金监管相关工作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竣工综合验收备案完成效果良好得5分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完成情况一般得3分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未完成交付使用的得0分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盟市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开发主管部门出具书面证明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企业以上各项分值累加，最后以得到的总分值排序，前50名即为50强企业。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有媒体曝光、群众投诉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、业务主管部门信用档案为差评的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，或列入银行、法院失信企业名单的，一票否决！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</w:rPr>
        <w:t>申报资料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</w:rPr>
        <w:t>房地产开发企业综合实力50强评价申报表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纸质版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和电子版)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基础材料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sz w:val="32"/>
          <w:szCs w:val="32"/>
        </w:rPr>
        <w:t>企业简介及年度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经营业绩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000字以内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z w:val="32"/>
          <w:szCs w:val="32"/>
        </w:rPr>
        <w:t>企业法人营业执照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开发企业资质证书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复印件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sz w:val="32"/>
          <w:szCs w:val="32"/>
        </w:rPr>
        <w:t>年度统计报表、审计报告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以企业集团参评的，须附集团及子公司的营业执照、章程、验资报告、集团及各子公司开发企业资质证书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复印件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反映企业整体形象的六寸照片和具有代表性的企业项目照片2张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资信卷</w:t>
      </w:r>
    </w:p>
    <w:p>
      <w:p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银行信用等级证书；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z w:val="32"/>
          <w:szCs w:val="32"/>
        </w:rPr>
        <w:t>年度内纳税证明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(3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)自治区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培训证书；</w:t>
      </w:r>
    </w:p>
    <w:p>
      <w:p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(4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质量保证体系认证书；</w:t>
      </w:r>
    </w:p>
    <w:p>
      <w:p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(5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)评选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年度获奖证书或证明文件；</w:t>
      </w:r>
    </w:p>
    <w:p>
      <w:p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(6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执行建筑节能技术标准认定证书；全装修认定证书；</w:t>
      </w:r>
    </w:p>
    <w:p>
      <w:p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(7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开发项目全过程监管执行情况证明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市开发主管部门出具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242424"/>
          <w:kern w:val="0"/>
          <w:sz w:val="32"/>
          <w:szCs w:val="32"/>
          <w:lang w:eastAsia="zh-CN"/>
        </w:rPr>
        <w:t>业绩卷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年度内竣工及在建项目一览表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附各项开发报建及竣工资料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</w:rPr>
        <w:t>表彰办法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凡获得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内蒙古自治区房地产企业综合实力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50强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称号的企业，由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内蒙古自治区房协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召开表彰大会，颁发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证书和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奖牌，并向社会公布。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获奖企业在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住建厅信用体系评分中，加2分；在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项目开发建设过程中，享受相应政策支持。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color w:val="242424"/>
          <w:kern w:val="0"/>
          <w:sz w:val="32"/>
          <w:szCs w:val="32"/>
        </w:rPr>
        <w:t>有关要求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涉及参评企业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集团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的经济类数据资料，由评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委员会根据企业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集团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)评选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的统计年报和经过审计的财务年报共同采集、审定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控股公司标准类数据按比例计入。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2424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自治区级、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</w:rPr>
        <w:t>部级奖项的确定均以政府建设行政主管部门及行业协会颁发为准，各种社会性评比一律不予记入</w:t>
      </w:r>
      <w:r>
        <w:rPr>
          <w:rFonts w:hint="eastAsia" w:ascii="仿宋" w:hAnsi="仿宋" w:eastAsia="仿宋" w:cs="仿宋"/>
          <w:color w:val="242424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42424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242424"/>
          <w:kern w:val="0"/>
          <w:sz w:val="32"/>
          <w:szCs w:val="32"/>
        </w:rPr>
        <w:t>申报材料要求一律用A4纸打孔装订，内容按申报材料要求顺序排列；同时提供光盘资料，光盘资料中的照片必须是实景，如附效果图将作为无效材料退回。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企业在申报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活动中有弄虚作假的，一经查实，则取消本年度和下一年度的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52BA"/>
    <w:multiLevelType w:val="singleLevel"/>
    <w:tmpl w:val="578352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F17AF"/>
    <w:rsid w:val="0A972527"/>
    <w:rsid w:val="0FBF78A9"/>
    <w:rsid w:val="16126A25"/>
    <w:rsid w:val="23BF31E0"/>
    <w:rsid w:val="25861DE6"/>
    <w:rsid w:val="2B000AD0"/>
    <w:rsid w:val="2C660B92"/>
    <w:rsid w:val="320A4967"/>
    <w:rsid w:val="39AB5814"/>
    <w:rsid w:val="3A7F75AC"/>
    <w:rsid w:val="3E007B93"/>
    <w:rsid w:val="471670B9"/>
    <w:rsid w:val="4BC075C7"/>
    <w:rsid w:val="4CAF17AF"/>
    <w:rsid w:val="552861BB"/>
    <w:rsid w:val="5E6E23F2"/>
    <w:rsid w:val="6D572D44"/>
    <w:rsid w:val="6EAD57A9"/>
    <w:rsid w:val="700D04D5"/>
    <w:rsid w:val="72CA36CC"/>
    <w:rsid w:val="79421309"/>
    <w:rsid w:val="7AEE5F88"/>
    <w:rsid w:val="7B0B6C9B"/>
    <w:rsid w:val="7B1531AA"/>
    <w:rsid w:val="7B722D49"/>
    <w:rsid w:val="7E3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2021-04-15T06:38:00Z</dcterms:created>
  <dc:creator>GZ</dc:creator>
  <cp:lastModifiedBy>茉茉</cp:lastModifiedBy>
  <dcterms:modified xsi:type="dcterms:W3CDTF">2022-04-20T07:23:31Z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