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lang w:eastAsia="zh-CN"/>
        </w:rPr>
        <w:t>内蒙古自治区</w:t>
      </w:r>
      <w:r>
        <w:rPr>
          <w:rFonts w:hint="eastAsia" w:asciiTheme="minorEastAsia" w:hAnsiTheme="minorEastAsia"/>
          <w:b/>
          <w:sz w:val="44"/>
          <w:szCs w:val="44"/>
        </w:rPr>
        <w:t>房地产开发企业</w:t>
      </w:r>
      <w:r>
        <w:rPr>
          <w:rFonts w:hint="eastAsia" w:cs="黑体" w:asciiTheme="minorEastAsia" w:hAnsiTheme="minorEastAsia"/>
          <w:b/>
          <w:color w:val="000000"/>
          <w:kern w:val="0"/>
          <w:sz w:val="44"/>
          <w:szCs w:val="44"/>
        </w:rPr>
        <w:t>信用评价指标体系</w:t>
      </w:r>
    </w:p>
    <w:tbl>
      <w:tblPr>
        <w:tblStyle w:val="8"/>
        <w:tblW w:w="15740" w:type="dxa"/>
        <w:jc w:val="center"/>
        <w:tblInd w:w="-39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276"/>
        <w:gridCol w:w="1256"/>
        <w:gridCol w:w="1012"/>
        <w:gridCol w:w="4061"/>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2"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pPr>
            <w:r>
              <w:rPr>
                <w:rFonts w:hint="eastAsia" w:cs="宋体" w:asciiTheme="minorEastAsia" w:hAnsiTheme="minorEastAsia"/>
                <w:b/>
                <w:kern w:val="0"/>
                <w:szCs w:val="21"/>
              </w:rPr>
              <w:t>1.企业客观信用能力(21)分</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基本信息</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经营年限</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经营年限是企业建设与成长的年限，一定程度反映企业信用建设，两者正相关。</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企业经营年限</w:t>
            </w:r>
            <w:r>
              <w:rPr>
                <w:rFonts w:cs="Times New Roman" w:asciiTheme="minorEastAsia" w:hAnsiTheme="minorEastAsia"/>
                <w:b/>
                <w:kern w:val="0"/>
                <w:szCs w:val="21"/>
              </w:rPr>
              <w:t>5</w:t>
            </w:r>
            <w:r>
              <w:rPr>
                <w:rFonts w:hint="eastAsia" w:cs="宋体" w:asciiTheme="minorEastAsia" w:hAnsiTheme="minorEastAsia"/>
                <w:b/>
                <w:kern w:val="0"/>
                <w:szCs w:val="21"/>
              </w:rPr>
              <w:t>年（含</w:t>
            </w:r>
            <w:r>
              <w:rPr>
                <w:rFonts w:cs="宋体" w:asciiTheme="minorEastAsia" w:hAnsiTheme="minorEastAsia"/>
                <w:b/>
                <w:kern w:val="0"/>
                <w:szCs w:val="21"/>
              </w:rPr>
              <w:t>5年）及以上得</w:t>
            </w:r>
            <w:r>
              <w:rPr>
                <w:rFonts w:cs="Times New Roman" w:asciiTheme="minorEastAsia" w:hAnsiTheme="minorEastAsia"/>
                <w:b/>
                <w:kern w:val="0"/>
                <w:szCs w:val="21"/>
              </w:rPr>
              <w:t>1</w:t>
            </w:r>
            <w:r>
              <w:rPr>
                <w:rFonts w:hint="eastAsia" w:cs="宋体" w:asciiTheme="minorEastAsia" w:hAnsiTheme="minorEastAsia"/>
                <w:b/>
                <w:kern w:val="0"/>
                <w:szCs w:val="21"/>
              </w:rPr>
              <w:t>分；</w:t>
            </w:r>
            <w:r>
              <w:rPr>
                <w:rFonts w:cs="宋体" w:asciiTheme="minorEastAsia" w:hAnsiTheme="minorEastAsia"/>
                <w:b/>
                <w:kern w:val="0"/>
                <w:szCs w:val="21"/>
              </w:rPr>
              <w:t>3-</w:t>
            </w:r>
            <w:r>
              <w:rPr>
                <w:rFonts w:cs="Times New Roman" w:asciiTheme="minorEastAsia" w:hAnsiTheme="minorEastAsia"/>
                <w:b/>
                <w:kern w:val="0"/>
                <w:szCs w:val="21"/>
              </w:rPr>
              <w:t>5</w:t>
            </w:r>
            <w:r>
              <w:rPr>
                <w:rFonts w:hint="eastAsia" w:cs="宋体" w:asciiTheme="minorEastAsia" w:hAnsiTheme="minorEastAsia"/>
                <w:b/>
                <w:kern w:val="0"/>
                <w:szCs w:val="21"/>
              </w:rPr>
              <w:t>年（含</w:t>
            </w:r>
            <w:r>
              <w:rPr>
                <w:rFonts w:cs="宋体" w:asciiTheme="minorEastAsia" w:hAnsiTheme="minorEastAsia"/>
                <w:b/>
                <w:kern w:val="0"/>
                <w:szCs w:val="21"/>
              </w:rPr>
              <w:t>3年）得</w:t>
            </w:r>
            <w:r>
              <w:rPr>
                <w:rFonts w:cs="Times New Roman" w:asciiTheme="minorEastAsia" w:hAnsiTheme="minorEastAsia"/>
                <w:b/>
                <w:kern w:val="0"/>
                <w:szCs w:val="21"/>
              </w:rPr>
              <w:t>0.5</w:t>
            </w:r>
            <w:r>
              <w:rPr>
                <w:rFonts w:hint="eastAsia" w:cs="宋体" w:asciiTheme="minorEastAsia" w:hAnsiTheme="minorEastAsia"/>
                <w:b/>
                <w:kern w:val="0"/>
                <w:szCs w:val="21"/>
              </w:rPr>
              <w:t>分；</w:t>
            </w:r>
            <w:r>
              <w:rPr>
                <w:rFonts w:cs="Times New Roman" w:asciiTheme="minorEastAsia" w:hAnsiTheme="minorEastAsia"/>
                <w:b/>
                <w:kern w:val="0"/>
                <w:szCs w:val="21"/>
              </w:rPr>
              <w:t>3</w:t>
            </w:r>
            <w:r>
              <w:rPr>
                <w:rFonts w:hint="eastAsia" w:cs="宋体" w:asciiTheme="minorEastAsia" w:hAnsiTheme="minorEastAsia"/>
                <w:b/>
                <w:kern w:val="0"/>
                <w:szCs w:val="21"/>
              </w:rPr>
              <w:t>年以下得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pPr>
            <w:r>
              <w:rPr>
                <w:rFonts w:hint="eastAsia" w:cs="宋体" w:asciiTheme="minorEastAsia" w:hAnsiTheme="minorEastAsia"/>
                <w:b/>
                <w:kern w:val="0"/>
                <w:szCs w:val="21"/>
              </w:rPr>
              <w:t>1.2开发能力(2分)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近三年</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开发面积</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根据施工许可证，评价企业近三年的开发能力。</w:t>
            </w:r>
          </w:p>
        </w:tc>
        <w:tc>
          <w:tcPr>
            <w:tcW w:w="6834" w:type="dxa"/>
            <w:vAlign w:val="center"/>
          </w:tcPr>
          <w:p>
            <w:pPr>
              <w:keepNext/>
              <w:keepLines/>
              <w:autoSpaceDE w:val="0"/>
              <w:autoSpaceDN w:val="0"/>
              <w:adjustRightInd w:val="0"/>
              <w:spacing w:line="300" w:lineRule="exact"/>
              <w:outlineLvl w:val="1"/>
              <w:rPr>
                <w:rFonts w:cs="宋体" w:asciiTheme="minorEastAsia" w:hAnsiTheme="minorEastAsia"/>
                <w:b/>
                <w:kern w:val="0"/>
                <w:szCs w:val="21"/>
              </w:rPr>
            </w:pPr>
            <w:r>
              <w:rPr>
                <w:rFonts w:hint="eastAsia" w:cs="宋体" w:asciiTheme="minorEastAsia" w:hAnsiTheme="minorEastAsia"/>
                <w:b/>
                <w:kern w:val="0"/>
                <w:szCs w:val="21"/>
              </w:rPr>
              <w:t>企业近三年累计开发量在5万平方米以上得1</w:t>
            </w:r>
            <w:r>
              <w:rPr>
                <w:rFonts w:cs="宋体" w:asciiTheme="minorEastAsia" w:hAnsiTheme="minorEastAsia"/>
                <w:b/>
                <w:kern w:val="0"/>
                <w:szCs w:val="21"/>
              </w:rPr>
              <w:t>分</w:t>
            </w:r>
            <w:r>
              <w:rPr>
                <w:rFonts w:hint="eastAsia" w:cs="宋体" w:asciiTheme="minorEastAsia" w:hAnsiTheme="minorEastAsia"/>
                <w:b/>
                <w:kern w:val="0"/>
                <w:szCs w:val="21"/>
              </w:rPr>
              <w:t>,在5万平方米以内得0分</w:t>
            </w:r>
            <w:r>
              <w:rPr>
                <w:rFonts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近三年竣工验收备案面积</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根据竣工验收备案表，评价企业近三年的开发能力。</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企业近三年累计竣工量在5万平方米以上得1</w:t>
            </w:r>
            <w:r>
              <w:rPr>
                <w:rFonts w:cs="宋体" w:asciiTheme="minorEastAsia" w:hAnsiTheme="minorEastAsia"/>
                <w:b/>
                <w:kern w:val="0"/>
                <w:szCs w:val="21"/>
              </w:rPr>
              <w:t>分</w:t>
            </w:r>
            <w:r>
              <w:rPr>
                <w:rFonts w:hint="eastAsia" w:cs="宋体" w:asciiTheme="minorEastAsia" w:hAnsiTheme="minorEastAsia"/>
                <w:b/>
                <w:kern w:val="0"/>
                <w:szCs w:val="21"/>
              </w:rPr>
              <w:t>,在5万平方米以内得0分</w:t>
            </w:r>
            <w:r>
              <w:rPr>
                <w:rFonts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人员素质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5分）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管理层素质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评价企业管理层知识结构、管理经验、管理层稳定情况、管理层是否存在不良信用记录等。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管理层专业素质高、人员稳定、无不良记录、经过行业培训得</w:t>
            </w:r>
            <w:r>
              <w:rPr>
                <w:rFonts w:cs="宋体" w:asciiTheme="minorEastAsia" w:hAnsiTheme="minorEastAsia"/>
                <w:b/>
                <w:kern w:val="0"/>
                <w:szCs w:val="21"/>
              </w:rPr>
              <w:t>4分；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管理层专业素质较高、人员较稳定、无不良记录得</w:t>
            </w:r>
            <w:r>
              <w:rPr>
                <w:rFonts w:cs="宋体" w:asciiTheme="minorEastAsia" w:hAnsiTheme="minorEastAsia"/>
                <w:b/>
                <w:kern w:val="0"/>
                <w:szCs w:val="21"/>
              </w:rPr>
              <w:t>3分；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管理层专业素质一般、人员稳定性一般，无不良记录得</w:t>
            </w:r>
            <w:r>
              <w:rPr>
                <w:rFonts w:cs="宋体" w:asciiTheme="minorEastAsia" w:hAnsiTheme="minorEastAsia"/>
                <w:b/>
                <w:kern w:val="0"/>
                <w:szCs w:val="21"/>
              </w:rPr>
              <w:t>2分；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管理层素质较差，人员稳定性较差，无不良记录得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管理层有不良记录得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项目管理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人员素质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根据企业资质等级，评价企业管理、技术人员专业结构配置是否合理。</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专业管理人员、中级以上职称管理人员、持有资格证书的专业人员符合本级资质规定人员数量和要求的，得</w:t>
            </w:r>
            <w:r>
              <w:rPr>
                <w:rFonts w:cs="Times New Roman" w:asciiTheme="minorEastAsia" w:hAnsiTheme="minorEastAsia"/>
                <w:b/>
                <w:kern w:val="0"/>
                <w:szCs w:val="21"/>
              </w:rPr>
              <w:t>1</w:t>
            </w:r>
            <w:r>
              <w:rPr>
                <w:rFonts w:hint="eastAsia" w:cs="宋体" w:asciiTheme="minorEastAsia" w:hAnsiTheme="minorEastAsia"/>
                <w:b/>
                <w:kern w:val="0"/>
                <w:szCs w:val="21"/>
              </w:rPr>
              <w:t>分；不符合的得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公司管理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与治理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3分）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评价企业在公司管理与治理方面的职能是否明确。</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企业在管理、考核、奖惩、资金管控、人事任免等方面各项制度健全，制度执行过程均有留痕，得</w:t>
            </w:r>
            <w:r>
              <w:rPr>
                <w:rFonts w:cs="宋体" w:asciiTheme="minorEastAsia" w:hAnsiTheme="minorEastAsia"/>
                <w:b/>
                <w:kern w:val="0"/>
                <w:szCs w:val="21"/>
              </w:rPr>
              <w:t>3分；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企业在管理、考核、奖惩、资金管控、人事任免等方面各项制度健全，但有</w:t>
            </w:r>
            <w:r>
              <w:rPr>
                <w:rFonts w:cs="宋体" w:asciiTheme="minorEastAsia" w:hAnsiTheme="minorEastAsia"/>
                <w:b/>
                <w:kern w:val="0"/>
                <w:szCs w:val="21"/>
              </w:rPr>
              <w:t>1-2项制度在执行过程中无留痕，得2分；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企业在管理、考核、奖惩、资金管控、人事任免等方面各项制度健全，但有</w:t>
            </w:r>
            <w:r>
              <w:rPr>
                <w:rFonts w:cs="宋体" w:asciiTheme="minorEastAsia" w:hAnsiTheme="minorEastAsia"/>
                <w:b/>
                <w:kern w:val="0"/>
                <w:szCs w:val="21"/>
              </w:rPr>
              <w:t>3-4项制度在执行过程中无留痕，得1分；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企业在管理、考核、奖惩、资金管控、人事任免等方面各项制度不健全，制度在执行过程中基本无留痕，得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财务信用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能力</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10分）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偿债能力</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w:t>
            </w:r>
            <w:r>
              <w:rPr>
                <w:rFonts w:hint="eastAsia" w:cs="宋体" w:asciiTheme="minorEastAsia" w:hAnsiTheme="minorEastAsia"/>
                <w:b/>
                <w:kern w:val="0"/>
                <w:szCs w:val="21"/>
              </w:rPr>
              <w:t>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通过评价偿债能力，反映企业持续经营的能力和风险。长期偿债能力考察产权比率；短期偿债能力考察现金流动负债比和速动比率。</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根据国资委或当地相关部门发布的房地产全行业财务水平</w:t>
            </w:r>
            <w:r>
              <w:rPr>
                <w:rFonts w:cs="宋体" w:asciiTheme="minorEastAsia" w:hAnsiTheme="minorEastAsia"/>
                <w:b/>
                <w:kern w:val="0"/>
                <w:szCs w:val="21"/>
              </w:rPr>
              <w:t>,产权比率、现金流动负债比和速动比率每项优秀得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分。其中，产权比率</w:t>
            </w:r>
            <w:r>
              <w:rPr>
                <w:rFonts w:cs="Times New Roman" w:asciiTheme="minorEastAsia" w:hAnsiTheme="minorEastAsia"/>
                <w:b/>
                <w:kern w:val="0"/>
                <w:szCs w:val="21"/>
              </w:rPr>
              <w:t>=</w:t>
            </w:r>
            <w:r>
              <w:rPr>
                <w:rFonts w:hint="eastAsia" w:cs="宋体" w:asciiTheme="minorEastAsia" w:hAnsiTheme="minorEastAsia"/>
                <w:b/>
                <w:kern w:val="0"/>
                <w:szCs w:val="21"/>
              </w:rPr>
              <w:t>负债</w:t>
            </w:r>
            <w:r>
              <w:rPr>
                <w:rFonts w:cs="Times New Roman" w:asciiTheme="minorEastAsia" w:hAnsiTheme="minorEastAsia"/>
                <w:b/>
                <w:kern w:val="0"/>
                <w:szCs w:val="21"/>
              </w:rPr>
              <w:t>/</w:t>
            </w:r>
            <w:r>
              <w:rPr>
                <w:rFonts w:hint="eastAsia" w:cs="宋体" w:asciiTheme="minorEastAsia" w:hAnsiTheme="minorEastAsia"/>
                <w:b/>
                <w:kern w:val="0"/>
                <w:szCs w:val="21"/>
              </w:rPr>
              <w:t>所有者权益；</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速动比率</w:t>
            </w:r>
            <w:r>
              <w:rPr>
                <w:rFonts w:cs="Times New Roman" w:asciiTheme="minorEastAsia" w:hAnsiTheme="minorEastAsia"/>
                <w:b/>
                <w:kern w:val="0"/>
                <w:szCs w:val="21"/>
              </w:rPr>
              <w:t>=</w:t>
            </w:r>
            <w:r>
              <w:rPr>
                <w:rFonts w:hint="eastAsia" w:cs="宋体" w:asciiTheme="minorEastAsia" w:hAnsiTheme="minorEastAsia"/>
                <w:b/>
                <w:kern w:val="0"/>
                <w:szCs w:val="21"/>
              </w:rPr>
              <w:t>速动资产</w:t>
            </w:r>
            <w:r>
              <w:rPr>
                <w:rFonts w:cs="Times New Roman" w:asciiTheme="minorEastAsia" w:hAnsiTheme="minorEastAsia"/>
                <w:b/>
                <w:kern w:val="0"/>
                <w:szCs w:val="21"/>
              </w:rPr>
              <w:t>/</w:t>
            </w:r>
            <w:r>
              <w:rPr>
                <w:rFonts w:hint="eastAsia" w:cs="宋体" w:asciiTheme="minorEastAsia" w:hAnsiTheme="minorEastAsia"/>
                <w:b/>
                <w:kern w:val="0"/>
                <w:szCs w:val="21"/>
              </w:rPr>
              <w:t>流动负债；现金流动负债比</w:t>
            </w:r>
            <w:r>
              <w:rPr>
                <w:rFonts w:cs="Times New Roman" w:asciiTheme="minorEastAsia" w:hAnsiTheme="minorEastAsia"/>
                <w:b/>
                <w:kern w:val="0"/>
                <w:szCs w:val="21"/>
              </w:rPr>
              <w:t>=</w:t>
            </w:r>
            <w:r>
              <w:rPr>
                <w:rFonts w:hint="eastAsia" w:cs="宋体" w:asciiTheme="minorEastAsia" w:hAnsiTheme="minorEastAsia"/>
                <w:b/>
                <w:kern w:val="0"/>
                <w:szCs w:val="21"/>
              </w:rPr>
              <w:t>经营活动现金流量</w:t>
            </w:r>
            <w:r>
              <w:rPr>
                <w:rFonts w:cs="Times New Roman" w:asciiTheme="minorEastAsia" w:hAnsiTheme="minorEastAsia"/>
                <w:b/>
                <w:kern w:val="0"/>
                <w:szCs w:val="21"/>
              </w:rPr>
              <w:t>/</w:t>
            </w:r>
            <w:r>
              <w:rPr>
                <w:rFonts w:hint="eastAsia" w:cs="宋体" w:asciiTheme="minorEastAsia" w:hAnsiTheme="minorEastAsia"/>
                <w:b/>
                <w:kern w:val="0"/>
                <w:szCs w:val="21"/>
              </w:rPr>
              <w:t>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1.5.2</w:t>
            </w:r>
          </w:p>
          <w:p>
            <w:pPr>
              <w:jc w:val="center"/>
            </w:pPr>
            <w:r>
              <w:rPr>
                <w:rFonts w:hint="eastAsia" w:cs="宋体" w:asciiTheme="minorEastAsia" w:hAnsiTheme="minorEastAsia"/>
                <w:b/>
                <w:kern w:val="0"/>
                <w:szCs w:val="21"/>
              </w:rPr>
              <w:t>运营能力</w:t>
            </w:r>
          </w:p>
        </w:tc>
        <w:tc>
          <w:tcPr>
            <w:tcW w:w="1012" w:type="dxa"/>
            <w:vAlign w:val="center"/>
          </w:tcPr>
          <w:p>
            <w:pPr>
              <w:jc w:val="center"/>
            </w:pPr>
            <w:r>
              <w:rPr>
                <w:rFonts w:hint="eastAsia" w:cs="宋体" w:asciiTheme="minorEastAsia" w:hAnsiTheme="minorEastAsia"/>
                <w:b/>
                <w:kern w:val="0"/>
                <w:szCs w:val="21"/>
              </w:rPr>
              <w:t>3</w:t>
            </w:r>
            <w:r>
              <w:rPr>
                <w:rFonts w:cs="宋体" w:asciiTheme="minorEastAsia" w:hAnsiTheme="minorEastAsia"/>
                <w:b/>
                <w:kern w:val="0"/>
                <w:szCs w:val="21"/>
              </w:rPr>
              <w:t>分</w:t>
            </w:r>
          </w:p>
        </w:tc>
        <w:tc>
          <w:tcPr>
            <w:tcW w:w="4061" w:type="dxa"/>
            <w:vAlign w:val="center"/>
          </w:tcPr>
          <w:p>
            <w:r>
              <w:rPr>
                <w:rFonts w:hint="eastAsia" w:cs="宋体" w:asciiTheme="minorEastAsia" w:hAnsiTheme="minorEastAsia"/>
                <w:b/>
                <w:kern w:val="0"/>
                <w:szCs w:val="21"/>
              </w:rPr>
              <w:t>通过评价运营能力，反映企业持续经营、良性发展的能力。主要考察应收账款周转率和存货周转率。</w:t>
            </w:r>
          </w:p>
        </w:tc>
        <w:tc>
          <w:tcPr>
            <w:tcW w:w="6834" w:type="dxa"/>
            <w:vAlign w:val="center"/>
          </w:tcPr>
          <w:p>
            <w:r>
              <w:rPr>
                <w:rFonts w:hint="eastAsia" w:cs="宋体" w:asciiTheme="minorEastAsia" w:hAnsiTheme="minorEastAsia"/>
                <w:b/>
                <w:kern w:val="0"/>
                <w:szCs w:val="21"/>
              </w:rPr>
              <w:t>根据国资委或当地相关部门发布的房地产全行业财务水平，存货周转率和应收账款周转率优秀得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分。其中，存货周转率</w:t>
            </w:r>
            <w:r>
              <w:rPr>
                <w:rFonts w:cs="Times New Roman" w:asciiTheme="minorEastAsia" w:hAnsiTheme="minorEastAsia"/>
                <w:b/>
                <w:kern w:val="0"/>
                <w:szCs w:val="21"/>
              </w:rPr>
              <w:t>=</w:t>
            </w:r>
            <w:r>
              <w:rPr>
                <w:rFonts w:hint="eastAsia" w:cs="宋体" w:asciiTheme="minorEastAsia" w:hAnsiTheme="minorEastAsia"/>
                <w:b/>
                <w:kern w:val="0"/>
                <w:szCs w:val="21"/>
              </w:rPr>
              <w:t>销售收入</w:t>
            </w:r>
            <w:r>
              <w:rPr>
                <w:rFonts w:cs="Times New Roman" w:asciiTheme="minorEastAsia" w:hAnsiTheme="minorEastAsia"/>
                <w:b/>
                <w:kern w:val="0"/>
                <w:szCs w:val="21"/>
              </w:rPr>
              <w:t>/</w:t>
            </w:r>
            <w:r>
              <w:rPr>
                <w:rFonts w:hint="eastAsia" w:cs="宋体" w:asciiTheme="minorEastAsia" w:hAnsiTheme="minorEastAsia"/>
                <w:b/>
                <w:kern w:val="0"/>
                <w:szCs w:val="21"/>
              </w:rPr>
              <w:t>平均存货余额；应收账款周转率</w:t>
            </w:r>
            <w:r>
              <w:rPr>
                <w:rFonts w:cs="Times New Roman" w:asciiTheme="minorEastAsia" w:hAnsiTheme="minorEastAsia"/>
                <w:b/>
                <w:kern w:val="0"/>
                <w:szCs w:val="21"/>
              </w:rPr>
              <w:t>=</w:t>
            </w:r>
            <w:r>
              <w:rPr>
                <w:rFonts w:hint="eastAsia" w:cs="宋体" w:asciiTheme="minorEastAsia" w:hAnsiTheme="minorEastAsia"/>
                <w:b/>
                <w:kern w:val="0"/>
                <w:szCs w:val="21"/>
              </w:rPr>
              <w:t>销售收入</w:t>
            </w:r>
            <w:r>
              <w:rPr>
                <w:rFonts w:cs="Times New Roman" w:asciiTheme="minorEastAsia" w:hAnsiTheme="minorEastAsia"/>
                <w:b/>
                <w:kern w:val="0"/>
                <w:szCs w:val="21"/>
              </w:rPr>
              <w:t>/</w:t>
            </w:r>
            <w:r>
              <w:rPr>
                <w:rFonts w:hint="eastAsia" w:cs="宋体" w:asciiTheme="minorEastAsia" w:hAnsiTheme="minorEastAsia"/>
                <w:b/>
                <w:kern w:val="0"/>
                <w:szCs w:val="21"/>
              </w:rPr>
              <w:t>平均应收账款</w:t>
            </w:r>
            <w:r>
              <w:rPr>
                <w:rFonts w:cs="宋体" w:asciiTheme="minorEastAsia" w:hAnsiTheme="minorEastAsia"/>
                <w:b/>
                <w:kern w:val="0"/>
                <w:szCs w:val="21"/>
              </w:rPr>
              <w:t>(加权平均)</w:t>
            </w:r>
            <w:r>
              <w:rPr>
                <w:rFonts w:hint="eastAsia"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r>
              <w:rPr>
                <w:rFonts w:hint="eastAsia" w:cs="宋体" w:asciiTheme="minorEastAsia" w:hAnsiTheme="minorEastAsia"/>
                <w:b/>
                <w:kern w:val="0"/>
                <w:szCs w:val="21"/>
              </w:rPr>
              <w:t>3</w:t>
            </w:r>
          </w:p>
          <w:p>
            <w:pPr>
              <w:jc w:val="center"/>
            </w:pPr>
            <w:r>
              <w:rPr>
                <w:rFonts w:hint="eastAsia" w:cs="宋体" w:asciiTheme="minorEastAsia" w:hAnsiTheme="minorEastAsia"/>
                <w:b/>
                <w:kern w:val="0"/>
                <w:szCs w:val="21"/>
              </w:rPr>
              <w:t>盈利能力</w:t>
            </w:r>
          </w:p>
        </w:tc>
        <w:tc>
          <w:tcPr>
            <w:tcW w:w="1012" w:type="dxa"/>
            <w:vAlign w:val="center"/>
          </w:tcPr>
          <w:p>
            <w:pPr>
              <w:jc w:val="center"/>
            </w:pPr>
            <w:r>
              <w:rPr>
                <w:rFonts w:cs="宋体" w:asciiTheme="minorEastAsia" w:hAnsiTheme="minorEastAsia"/>
                <w:b/>
                <w:kern w:val="0"/>
                <w:szCs w:val="21"/>
              </w:rPr>
              <w:t>2分</w:t>
            </w:r>
          </w:p>
        </w:tc>
        <w:tc>
          <w:tcPr>
            <w:tcW w:w="4061" w:type="dxa"/>
            <w:vAlign w:val="center"/>
          </w:tcPr>
          <w:p>
            <w:r>
              <w:rPr>
                <w:rFonts w:hint="eastAsia" w:cs="宋体" w:asciiTheme="minorEastAsia" w:hAnsiTheme="minorEastAsia"/>
                <w:b/>
                <w:kern w:val="0"/>
                <w:szCs w:val="21"/>
              </w:rPr>
              <w:t>通过评价盈利能力，考察近三年企业平均总资产收益率和近三年净资产收益率。</w:t>
            </w:r>
          </w:p>
        </w:tc>
        <w:tc>
          <w:tcPr>
            <w:tcW w:w="6834" w:type="dxa"/>
            <w:vAlign w:val="center"/>
          </w:tcPr>
          <w:p>
            <w:r>
              <w:rPr>
                <w:rFonts w:hint="eastAsia" w:cs="宋体" w:asciiTheme="minorEastAsia" w:hAnsiTheme="minorEastAsia"/>
                <w:b/>
                <w:kern w:val="0"/>
                <w:szCs w:val="21"/>
              </w:rPr>
              <w:t>根据国资委或当地相关部门发布的房地产全行业财务水平</w:t>
            </w:r>
            <w:r>
              <w:rPr>
                <w:rFonts w:cs="宋体" w:asciiTheme="minorEastAsia" w:hAnsiTheme="minorEastAsia"/>
                <w:b/>
                <w:kern w:val="0"/>
                <w:szCs w:val="21"/>
              </w:rPr>
              <w:t>,每项指标优秀得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分。其中，总资产收益率</w:t>
            </w:r>
            <w:r>
              <w:rPr>
                <w:rFonts w:cs="宋体" w:asciiTheme="minorEastAsia" w:hAnsiTheme="minorEastAsia"/>
                <w:b/>
                <w:kern w:val="0"/>
                <w:szCs w:val="21"/>
              </w:rPr>
              <w:t>=净收益/总资产；</w:t>
            </w:r>
            <w:r>
              <w:rPr>
                <w:rFonts w:hint="eastAsia" w:cs="宋体" w:asciiTheme="minorEastAsia" w:hAnsiTheme="minorEastAsia"/>
                <w:b/>
                <w:kern w:val="0"/>
                <w:szCs w:val="21"/>
              </w:rPr>
              <w:t>净资产收益率</w:t>
            </w:r>
            <w:r>
              <w:rPr>
                <w:rFonts w:cs="宋体" w:asciiTheme="minorEastAsia" w:hAnsiTheme="minorEastAsia"/>
                <w:b/>
                <w:kern w:val="0"/>
                <w:szCs w:val="21"/>
              </w:rPr>
              <w:t>=净收益/所有者权益</w:t>
            </w:r>
            <w:r>
              <w:rPr>
                <w:rFonts w:hint="eastAsia"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r>
              <w:rPr>
                <w:rFonts w:hint="eastAsia" w:cs="宋体" w:asciiTheme="minorEastAsia" w:hAnsiTheme="minorEastAsia"/>
                <w:b/>
                <w:kern w:val="0"/>
                <w:szCs w:val="21"/>
              </w:rPr>
              <w:t>4</w:t>
            </w:r>
          </w:p>
          <w:p>
            <w:pPr>
              <w:jc w:val="center"/>
            </w:pPr>
            <w:r>
              <w:rPr>
                <w:rFonts w:hint="eastAsia" w:cs="宋体" w:asciiTheme="minorEastAsia" w:hAnsiTheme="minorEastAsia"/>
                <w:b/>
                <w:kern w:val="0"/>
                <w:szCs w:val="21"/>
              </w:rPr>
              <w:t>财务信息质量</w:t>
            </w:r>
          </w:p>
        </w:tc>
        <w:tc>
          <w:tcPr>
            <w:tcW w:w="1012" w:type="dxa"/>
            <w:vAlign w:val="center"/>
          </w:tcPr>
          <w:p>
            <w:pPr>
              <w:jc w:val="cente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4061" w:type="dxa"/>
            <w:vAlign w:val="center"/>
          </w:tcPr>
          <w:p>
            <w:r>
              <w:rPr>
                <w:rFonts w:hint="eastAsia" w:cs="宋体" w:asciiTheme="minorEastAsia" w:hAnsiTheme="minorEastAsia"/>
                <w:b/>
                <w:kern w:val="0"/>
                <w:szCs w:val="21"/>
              </w:rPr>
              <w:t>通过评价企业近三年财务报告审计情况及审计意见类型，考察财务信息质量。</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财务报表已审计，出具无保留的标准审计意见，得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财务报表已审计，出具非标准审计意见，得</w:t>
            </w:r>
            <w:r>
              <w:rPr>
                <w:rFonts w:cs="宋体" w:asciiTheme="minorEastAsia" w:hAnsiTheme="minorEastAsia"/>
                <w:b/>
                <w:kern w:val="0"/>
                <w:szCs w:val="21"/>
              </w:rPr>
              <w:t>0.5</w:t>
            </w:r>
            <w:r>
              <w:rPr>
                <w:rFonts w:hint="eastAsia" w:cs="宋体" w:asciiTheme="minorEastAsia" w:hAnsiTheme="minorEastAsia"/>
                <w:b/>
                <w:kern w:val="0"/>
                <w:szCs w:val="21"/>
              </w:rPr>
              <w:t>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财务报表未审计，得</w:t>
            </w:r>
            <w:r>
              <w:rPr>
                <w:rFonts w:cs="宋体" w:asciiTheme="minorEastAsia" w:hAnsiTheme="minorEastAsia"/>
                <w:b/>
                <w:kern w:val="0"/>
                <w:szCs w:val="21"/>
              </w:rPr>
              <w:t>0</w:t>
            </w:r>
            <w:r>
              <w:rPr>
                <w:rFonts w:hint="eastAsia" w:cs="宋体" w:asciiTheme="minorEastAsia" w:hAnsiTheme="minorEastAsia"/>
                <w:b/>
                <w:kern w:val="0"/>
                <w:szCs w:val="21"/>
              </w:rPr>
              <w:t>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2"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2.</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企业经营</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信用情况</w:t>
            </w:r>
          </w:p>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54分</w:t>
            </w:r>
          </w:p>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企业开发</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前期信用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8分）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土地运作信用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评价企业是否按程序获取土地，按合同履行义务。</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企业近三年在获取土地过程中未严格遵守程序的，根据实际情况，每项目扣</w:t>
            </w:r>
            <w:r>
              <w:rPr>
                <w:rFonts w:cs="Times New Roman" w:asciiTheme="minorEastAsia" w:hAnsiTheme="minorEastAsia"/>
                <w:b/>
                <w:kern w:val="0"/>
                <w:szCs w:val="21"/>
              </w:rPr>
              <w:t>0.5-1</w:t>
            </w:r>
            <w:r>
              <w:rPr>
                <w:rFonts w:hint="eastAsia" w:cs="宋体" w:asciiTheme="minorEastAsia" w:hAnsiTheme="minorEastAsia"/>
                <w:b/>
                <w:kern w:val="0"/>
                <w:szCs w:val="21"/>
              </w:rPr>
              <w:t>分，累计扣满</w:t>
            </w:r>
            <w:r>
              <w:rPr>
                <w:rFonts w:cs="Times New Roman" w:asciiTheme="minorEastAsia" w:hAnsiTheme="minorEastAsia"/>
                <w:b/>
                <w:kern w:val="0"/>
                <w:szCs w:val="21"/>
              </w:rPr>
              <w:t>4</w:t>
            </w:r>
            <w:r>
              <w:rPr>
                <w:rFonts w:hint="eastAsia" w:cs="宋体" w:asciiTheme="minorEastAsia" w:hAnsiTheme="minorEastAsia"/>
                <w:b/>
                <w:kern w:val="0"/>
                <w:szCs w:val="21"/>
              </w:rPr>
              <w:t>分，但若下列</w:t>
            </w:r>
            <w:r>
              <w:rPr>
                <w:rFonts w:cs="Times New Roman" w:asciiTheme="minorEastAsia" w:hAnsiTheme="minorEastAsia"/>
                <w:b/>
                <w:kern w:val="0"/>
                <w:szCs w:val="21"/>
              </w:rPr>
              <w:t>3</w:t>
            </w:r>
            <w:r>
              <w:rPr>
                <w:rFonts w:hint="eastAsia" w:cs="宋体" w:asciiTheme="minorEastAsia" w:hAnsiTheme="minorEastAsia"/>
                <w:b/>
                <w:kern w:val="0"/>
                <w:szCs w:val="21"/>
              </w:rPr>
              <w:t>项违规事项均发生，则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(1)在土地招拍挂过程中，未严格遵守程序；</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(2)中标后未按合同按时足额支付土地出让金；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(3)未按土地出让合同按时按规划开发。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规划许可信用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评价企业在规划许可过程中相关证书的规范办理情况。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企业近三年在办理《建设用地规划许可证》、《国有土地使用权证》、《建设工程规划许可证》、《建筑工程施工许可证》过程中，有不遵守程序的行为，每项目每项证书扣</w:t>
            </w:r>
            <w:r>
              <w:rPr>
                <w:rFonts w:cs="Times New Roman" w:asciiTheme="minorEastAsia" w:hAnsiTheme="minorEastAsia"/>
                <w:b/>
                <w:kern w:val="0"/>
                <w:szCs w:val="21"/>
              </w:rPr>
              <w:t>0.5</w:t>
            </w:r>
            <w:r>
              <w:rPr>
                <w:rFonts w:hint="eastAsia" w:cs="宋体" w:asciiTheme="minorEastAsia" w:hAnsiTheme="minorEastAsia"/>
                <w:b/>
                <w:kern w:val="0"/>
                <w:szCs w:val="21"/>
              </w:rPr>
              <w:t>分，累计发生</w:t>
            </w:r>
            <w:r>
              <w:rPr>
                <w:rFonts w:cs="Times New Roman" w:asciiTheme="minorEastAsia" w:hAnsiTheme="minorEastAsia"/>
                <w:b/>
                <w:kern w:val="0"/>
                <w:szCs w:val="21"/>
              </w:rPr>
              <w:t>3</w:t>
            </w:r>
            <w:r>
              <w:rPr>
                <w:rFonts w:hint="eastAsia" w:cs="宋体" w:asciiTheme="minorEastAsia" w:hAnsiTheme="minorEastAsia"/>
                <w:b/>
                <w:kern w:val="0"/>
                <w:szCs w:val="21"/>
              </w:rPr>
              <w:t>项，则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工程招标信用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评价企业选取供应商（包括材料设备供应商和承包商）时招标信用情况。</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企业近三年工程招标过程中发生以下情况</w:t>
            </w:r>
            <w:r>
              <w:rPr>
                <w:rFonts w:cs="宋体" w:asciiTheme="minorEastAsia" w:hAnsiTheme="minorEastAsia"/>
                <w:b/>
                <w:kern w:val="0"/>
                <w:szCs w:val="21"/>
              </w:rPr>
              <w:t>,根据实际情况每项目每项扣</w:t>
            </w:r>
            <w:r>
              <w:rPr>
                <w:rFonts w:cs="Times New Roman" w:asciiTheme="minorEastAsia" w:hAnsiTheme="minorEastAsia"/>
                <w:b/>
                <w:kern w:val="0"/>
                <w:szCs w:val="21"/>
              </w:rPr>
              <w:t>0.5-1</w:t>
            </w:r>
            <w:r>
              <w:rPr>
                <w:rFonts w:hint="eastAsia" w:cs="宋体" w:asciiTheme="minorEastAsia" w:hAnsiTheme="minorEastAsia"/>
                <w:b/>
                <w:kern w:val="0"/>
                <w:szCs w:val="21"/>
              </w:rPr>
              <w:t>分</w:t>
            </w:r>
            <w:r>
              <w:rPr>
                <w:rFonts w:cs="宋体" w:asciiTheme="minorEastAsia" w:hAnsiTheme="minorEastAsia"/>
                <w:b/>
                <w:kern w:val="0"/>
                <w:szCs w:val="21"/>
              </w:rPr>
              <w:t>,累计发生</w:t>
            </w:r>
            <w:r>
              <w:rPr>
                <w:rFonts w:cs="Times New Roman" w:asciiTheme="minorEastAsia" w:hAnsiTheme="minorEastAsia"/>
                <w:b/>
                <w:kern w:val="0"/>
                <w:szCs w:val="21"/>
              </w:rPr>
              <w:t>3</w:t>
            </w:r>
            <w:r>
              <w:rPr>
                <w:rFonts w:hint="eastAsia" w:cs="宋体" w:asciiTheme="minorEastAsia" w:hAnsiTheme="minorEastAsia"/>
                <w:b/>
                <w:kern w:val="0"/>
                <w:szCs w:val="21"/>
              </w:rPr>
              <w:t>项，则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(1)未按规定进行招标；</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(2)迫使总包不合理接受分包；</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(3)肢解项目进行招标；</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(4)企业与供应商进行标前谈判，或中标后就实质性条款进行谈判并更改。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企业建设</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阶段信用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16分）</w:t>
            </w:r>
          </w:p>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合同信用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评价企业在合同执行过程中是否严格履约。</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企业拖欠供应商、施工承包方合同款、设计费，每发生一项扣</w:t>
            </w:r>
            <w:r>
              <w:rPr>
                <w:rFonts w:cs="宋体" w:asciiTheme="minorEastAsia" w:hAnsiTheme="minorEastAsia"/>
                <w:b/>
                <w:kern w:val="0"/>
                <w:szCs w:val="21"/>
              </w:rPr>
              <w:t>0.5分，累计扣满3分；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企业近三年拖欠巨额合同款，或与合作方有重大纠纷的，且企业承担主要责任，</w:t>
            </w:r>
            <w:r>
              <w:rPr>
                <w:rFonts w:cs="宋体" w:asciiTheme="minorEastAsia" w:hAnsiTheme="minorEastAsia"/>
                <w:b/>
                <w:kern w:val="0"/>
                <w:szCs w:val="21"/>
              </w:rPr>
              <w:t>2.2项不得分。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质量信用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5分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评价企业保障质量信用的能力。</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企业近三年工程合格率低于</w:t>
            </w:r>
            <w:r>
              <w:rPr>
                <w:rFonts w:cs="Times New Roman" w:asciiTheme="minorEastAsia" w:hAnsiTheme="minorEastAsia"/>
                <w:b/>
                <w:kern w:val="0"/>
                <w:szCs w:val="21"/>
              </w:rPr>
              <w:t>100%</w:t>
            </w:r>
            <w:r>
              <w:rPr>
                <w:rFonts w:hint="eastAsia" w:cs="宋体" w:asciiTheme="minorEastAsia" w:hAnsiTheme="minorEastAsia"/>
                <w:b/>
                <w:kern w:val="0"/>
                <w:szCs w:val="21"/>
              </w:rPr>
              <w:t>的，</w:t>
            </w:r>
            <w:r>
              <w:rPr>
                <w:rFonts w:cs="Times New Roman" w:asciiTheme="minorEastAsia" w:hAnsiTheme="minorEastAsia"/>
                <w:b/>
                <w:kern w:val="0"/>
                <w:szCs w:val="21"/>
              </w:rPr>
              <w:t>2.2</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企业近三年项目原材料和配套设备未进行规定检验的，每项目根据实际情况扣</w:t>
            </w:r>
            <w:r>
              <w:rPr>
                <w:rFonts w:cs="宋体" w:asciiTheme="minorEastAsia" w:hAnsiTheme="minorEastAsia"/>
                <w:b/>
                <w:kern w:val="0"/>
                <w:szCs w:val="21"/>
              </w:rPr>
              <w:t>0.5-1分；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企业近三年施工过程隐蔽工程合格证不齐全，每项目每缺少</w:t>
            </w:r>
            <w:r>
              <w:rPr>
                <w:rFonts w:cs="宋体" w:asciiTheme="minorEastAsia" w:hAnsiTheme="minorEastAsia"/>
                <w:b/>
                <w:kern w:val="0"/>
                <w:szCs w:val="21"/>
              </w:rPr>
              <w:t>1个扣0.5分。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进度信用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评价企业在进度控制方面的信用。</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企业近三年存在拖延工期或不合理赶工期的项目，每项扣</w:t>
            </w:r>
            <w:r>
              <w:rPr>
                <w:rFonts w:cs="Times New Roman" w:asciiTheme="minorEastAsia" w:hAnsiTheme="minorEastAsia"/>
                <w:b/>
                <w:kern w:val="0"/>
                <w:szCs w:val="21"/>
              </w:rPr>
              <w:t>0.5-1</w:t>
            </w:r>
            <w:r>
              <w:rPr>
                <w:rFonts w:hint="eastAsia" w:cs="宋体" w:asciiTheme="minorEastAsia" w:hAnsiTheme="minorEastAsia"/>
                <w:b/>
                <w:kern w:val="0"/>
                <w:szCs w:val="21"/>
              </w:rPr>
              <w:t>分。因政府原因造成的拖延工期（政府相关部门如规划、建设主管部门应提供证明材料）除外。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安全信用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评价企业防范安全事故的措施及管理结果两个层面，事故类别按国务院文件。</w:t>
            </w:r>
          </w:p>
        </w:tc>
        <w:tc>
          <w:tcPr>
            <w:tcW w:w="6834"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企业近三年发生重大安全事故的</w:t>
            </w:r>
            <w:r>
              <w:rPr>
                <w:rFonts w:cs="Times New Roman" w:asciiTheme="minorEastAsia" w:hAnsiTheme="minorEastAsia"/>
                <w:b/>
                <w:kern w:val="0"/>
                <w:szCs w:val="21"/>
              </w:rPr>
              <w:t>2.2</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ind w:right="-210" w:rightChars="-100"/>
              <w:jc w:val="left"/>
              <w:rPr>
                <w:rFonts w:cs="宋体" w:asciiTheme="minorEastAsia" w:hAnsiTheme="minorEastAsia"/>
                <w:b/>
                <w:kern w:val="0"/>
                <w:szCs w:val="21"/>
              </w:rPr>
            </w:pPr>
            <w:r>
              <w:rPr>
                <w:rFonts w:hint="eastAsia" w:cs="宋体" w:asciiTheme="minorEastAsia" w:hAnsiTheme="minorEastAsia"/>
                <w:b/>
                <w:kern w:val="0"/>
                <w:szCs w:val="21"/>
              </w:rPr>
              <w:t>企业近三年发生较大安全事故每次扣</w:t>
            </w:r>
            <w:r>
              <w:rPr>
                <w:rFonts w:cs="宋体" w:asciiTheme="minorEastAsia" w:hAnsiTheme="minorEastAsia"/>
                <w:b/>
                <w:kern w:val="0"/>
                <w:szCs w:val="21"/>
              </w:rPr>
              <w:t>1分,3次及以上2.2.4项</w:t>
            </w:r>
          </w:p>
          <w:p>
            <w:pPr>
              <w:autoSpaceDE w:val="0"/>
              <w:autoSpaceDN w:val="0"/>
              <w:adjustRightInd w:val="0"/>
              <w:spacing w:line="300" w:lineRule="exact"/>
              <w:ind w:right="-210" w:rightChars="-100"/>
              <w:rPr>
                <w:rFonts w:cs="宋体" w:asciiTheme="minorEastAsia" w:hAnsiTheme="minorEastAsia"/>
                <w:b/>
                <w:kern w:val="0"/>
                <w:szCs w:val="21"/>
              </w:rPr>
            </w:pPr>
            <w:r>
              <w:rPr>
                <w:rFonts w:cs="宋体" w:asciiTheme="minorEastAsia" w:hAnsiTheme="minorEastAsia"/>
                <w:b/>
                <w:kern w:val="0"/>
                <w:szCs w:val="21"/>
              </w:rPr>
              <w:t>得0分；</w:t>
            </w:r>
          </w:p>
          <w:p>
            <w:pPr>
              <w:autoSpaceDE w:val="0"/>
              <w:autoSpaceDN w:val="0"/>
              <w:adjustRightInd w:val="0"/>
              <w:spacing w:line="300" w:lineRule="exact"/>
              <w:ind w:right="-735" w:rightChars="-350"/>
              <w:jc w:val="left"/>
              <w:rPr>
                <w:rFonts w:cs="宋体" w:asciiTheme="minorEastAsia" w:hAnsiTheme="minorEastAsia"/>
                <w:b/>
                <w:kern w:val="0"/>
                <w:szCs w:val="21"/>
              </w:rPr>
            </w:pPr>
            <w:r>
              <w:rPr>
                <w:rFonts w:hint="eastAsia" w:cs="宋体" w:asciiTheme="minorEastAsia" w:hAnsiTheme="minorEastAsia"/>
                <w:b/>
                <w:kern w:val="0"/>
                <w:szCs w:val="21"/>
              </w:rPr>
              <w:t>企业近三年发生一般安全事故每次扣</w:t>
            </w:r>
            <w:r>
              <w:rPr>
                <w:rFonts w:cs="宋体" w:asciiTheme="minorEastAsia" w:hAnsiTheme="minorEastAsia"/>
                <w:b/>
                <w:kern w:val="0"/>
                <w:szCs w:val="21"/>
              </w:rPr>
              <w:t>0.5分,5次及以上2.2.4项</w:t>
            </w:r>
          </w:p>
          <w:p>
            <w:pPr>
              <w:autoSpaceDE w:val="0"/>
              <w:autoSpaceDN w:val="0"/>
              <w:adjustRightInd w:val="0"/>
              <w:spacing w:line="300" w:lineRule="exact"/>
              <w:ind w:right="-735" w:rightChars="-350"/>
              <w:jc w:val="left"/>
              <w:rPr>
                <w:rFonts w:cs="宋体" w:asciiTheme="minorEastAsia" w:hAnsiTheme="minorEastAsia"/>
                <w:b/>
                <w:kern w:val="0"/>
                <w:szCs w:val="21"/>
              </w:rPr>
            </w:pPr>
            <w:r>
              <w:rPr>
                <w:rFonts w:cs="宋体" w:asciiTheme="minorEastAsia" w:hAnsiTheme="minorEastAsia"/>
                <w:b/>
                <w:kern w:val="0"/>
                <w:szCs w:val="21"/>
              </w:rPr>
              <w:t>得0分;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企业近三年项目未按要求制定安全技术措施每项目扣</w:t>
            </w:r>
            <w:r>
              <w:rPr>
                <w:rFonts w:cs="宋体" w:asciiTheme="minorEastAsia" w:hAnsiTheme="minorEastAsia"/>
                <w:b/>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竣工验收</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评价企业工程竣工阶段竣工验收的合法合规性。</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企业近三年竣工的项目，未按相关规定办理规划、消防、配套设施等验收，每项目每缺少</w:t>
            </w:r>
            <w:r>
              <w:rPr>
                <w:rFonts w:cs="Times New Roman" w:asciiTheme="minorEastAsia" w:hAnsiTheme="minorEastAsia"/>
                <w:b/>
                <w:kern w:val="0"/>
                <w:szCs w:val="21"/>
              </w:rPr>
              <w:t>1</w:t>
            </w:r>
            <w:r>
              <w:rPr>
                <w:rFonts w:hint="eastAsia" w:cs="宋体" w:asciiTheme="minorEastAsia" w:hAnsiTheme="minorEastAsia"/>
                <w:b/>
                <w:kern w:val="0"/>
                <w:szCs w:val="21"/>
              </w:rPr>
              <w:t>项扣</w:t>
            </w:r>
            <w:r>
              <w:rPr>
                <w:rFonts w:cs="Times New Roman" w:asciiTheme="minorEastAsia" w:hAnsiTheme="minorEastAsia"/>
                <w:b/>
                <w:kern w:val="0"/>
                <w:szCs w:val="21"/>
              </w:rPr>
              <w:t>0.5</w:t>
            </w:r>
            <w:r>
              <w:rPr>
                <w:rFonts w:hint="eastAsia" w:cs="宋体" w:asciiTheme="minorEastAsia" w:hAnsiTheme="minorEastAsia"/>
                <w:b/>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5" w:hRule="atLeast"/>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企业销售</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阶段信用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23分）</w:t>
            </w:r>
          </w:p>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推广信用</w:t>
            </w:r>
          </w:p>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8分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评价企业在销售推广过程中是否遵守相关规定，办理相关证件；对消费者是否诚信，是否存在欺诈、误导消费者的行为。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0.5分，累计扣满8分，若发生下列4项不同的非诚信行为，2.3.1项得0分；发生5项则2.3项得0分：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(1)广告发布虚假房源信息；</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(2)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存在以下情况仍在发布广告:在未经依法取得国有土地使用权的土地上开发建设的;在未经国家征用的集体所有的土地上建设的;司法机关和行政机关依法规定、决定查封或者以其他形式限制房地产权利的;预售房地产，但未取得该项目预售许可证的;权属有争议的;不符合工程质量标准，验收不合格；</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(4)广告中未载明以下事项：开发企业名称;中介服务机构代理销售的，中介服务机构名称；预售或者销售许可证书号；</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(5)广告中含有风水、占卜等封建迷信内容,有悖社会良好风尚；</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(6)广告中存在价格、面积、配套设施等欺诈现象；</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(7)广告利用其他项目的形象、环境作为本项目的效果误导消费者；</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(8)广告中出现融资或者变相融资的内容；</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(9)广告中有能够为入住者办理户口、就业、升学等事项的承诺；</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(10)广告中涉及虚假装修装饰内容。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预、销售信用</w:t>
            </w:r>
          </w:p>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9分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评价企业预售和销售商品房的信用情况。主要包括是否严格遵守相关规定，按照相关程序合法合规预售、销售；在出售商品房过程中有无欺诈、误导消费者行为。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0.5分，累计扣满9分，若发生下列4项不同的非诚信行为，2.3.2项得0分；发生5项则2.3项得0分：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(1)未取得商品房预（销）售许可证，进行商品房销售；</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(2)</w:t>
            </w:r>
            <w:r>
              <w:rPr>
                <w:rFonts w:hint="eastAsia" w:cs="宋体" w:asciiTheme="minorEastAsia" w:hAnsiTheme="minorEastAsia"/>
                <w:b/>
                <w:kern w:val="0"/>
                <w:szCs w:val="21"/>
              </w:rPr>
              <w:t>企业预售资金未能及时入资金监管账户</w:t>
            </w:r>
            <w:r>
              <w:rPr>
                <w:rFonts w:cs="宋体" w:asciiTheme="minorEastAsia" w:hAnsiTheme="minorEastAsia"/>
                <w:b/>
                <w:kern w:val="0"/>
                <w:szCs w:val="21"/>
              </w:rPr>
              <w:t>；</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(3)委托没有资格的中介机构代理销售；</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(4)预售已抵押的商品房，未通知抵押权人或未将抵押情况告知买受人；</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(5)未按规定向买受人明示《商品房买卖合同示范文本》;</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(6)未按照规定在商品房现售前将房地产开发项目手册及符合商品房现售条件的有关证明文件报送房地产开发主管部门备案；</w:t>
            </w:r>
          </w:p>
          <w:p>
            <w:pPr>
              <w:autoSpaceDE w:val="0"/>
              <w:autoSpaceDN w:val="0"/>
              <w:adjustRightInd w:val="0"/>
              <w:spacing w:line="300" w:lineRule="exact"/>
              <w:ind w:right="-105" w:rightChars="-50"/>
              <w:jc w:val="left"/>
              <w:rPr>
                <w:rFonts w:cs="宋体" w:asciiTheme="minorEastAsia" w:hAnsiTheme="minorEastAsia"/>
                <w:b/>
                <w:kern w:val="0"/>
                <w:szCs w:val="21"/>
              </w:rPr>
            </w:pPr>
            <w:r>
              <w:rPr>
                <w:rFonts w:cs="宋体" w:asciiTheme="minorEastAsia" w:hAnsiTheme="minorEastAsia"/>
                <w:b/>
                <w:kern w:val="0"/>
                <w:szCs w:val="21"/>
              </w:rPr>
              <w:t>(7)采取售后包租或者变相售后包租方式销售未竣工商品房；</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(8)经确认存在捂盘惜售或者变相囤积房源行为；</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(9)售房过程中雇佣人员冒充购房者制造紧张气氛的，或发布虚假供应或库存信息；</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(10)不符合商品房销售条件，以认购、预订、排号、发卡等方式向买受人收取或者变相收取定金、预订款等费用，借机抬高价格；</w:t>
            </w:r>
          </w:p>
          <w:p>
            <w:pPr>
              <w:autoSpaceDE w:val="0"/>
              <w:autoSpaceDN w:val="0"/>
              <w:adjustRightInd w:val="0"/>
              <w:spacing w:line="300" w:lineRule="exact"/>
              <w:ind w:right="-105" w:rightChars="-50"/>
              <w:rPr>
                <w:rFonts w:cs="宋体" w:asciiTheme="minorEastAsia" w:hAnsiTheme="minorEastAsia"/>
                <w:b/>
                <w:kern w:val="0"/>
                <w:szCs w:val="21"/>
              </w:rPr>
            </w:pPr>
            <w:r>
              <w:rPr>
                <w:rFonts w:cs="宋体" w:asciiTheme="minorEastAsia" w:hAnsiTheme="minorEastAsia"/>
                <w:b/>
                <w:kern w:val="0"/>
                <w:szCs w:val="21"/>
              </w:rPr>
              <w:t>(11)通过捏造或者散布涨价信息等方式恶意炒作、哄抬房价；</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(12)商品房销售不予明码标价，在标价之外加价出售房屋或者收取未标明的费用；</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(13)以捆绑搭售或者附加条件等限定方式，迫使购房人接受商品或者服务价格；</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(14)将已作为商品房销售合同标的物的商品房再销售给他人。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合同履约信用</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6分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评价企业与消费者签订合同及履约情况。企业是否严格按照合同履约，在合同履行过程中，企业是否存在有失公平、欺诈、甩项等不诚信行为。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0.5分，累计扣满6分，若发生下列3项不同的非诚信行为，2.3.3项得0分；发生下列6项不同行为或发生第(10)项，2.3项得0分：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(1)商品房买卖合同及补充约定显失公平；</w:t>
            </w:r>
          </w:p>
          <w:p>
            <w:pPr>
              <w:autoSpaceDE w:val="0"/>
              <w:autoSpaceDN w:val="0"/>
              <w:adjustRightInd w:val="0"/>
              <w:spacing w:line="300" w:lineRule="exact"/>
              <w:ind w:right="-29" w:rightChars="-14"/>
              <w:rPr>
                <w:rFonts w:cs="宋体" w:asciiTheme="minorEastAsia" w:hAnsiTheme="minorEastAsia"/>
                <w:b/>
                <w:kern w:val="0"/>
                <w:szCs w:val="21"/>
              </w:rPr>
            </w:pPr>
            <w:r>
              <w:rPr>
                <w:rFonts w:cs="宋体" w:asciiTheme="minorEastAsia" w:hAnsiTheme="minorEastAsia"/>
                <w:b/>
                <w:kern w:val="0"/>
                <w:szCs w:val="21"/>
              </w:rPr>
              <w:t>(2)签订商品房买卖合同及其补充协议时，未采取合理方式提请房屋买受人注意免除或者限制其责任的条款；</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(3)未按规定办理商品房网上签约和预售登记备案；</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(4)企业延迟交房，且不按合同支付买房人延迟交房补偿；</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(5)企业延迟为买受人办理房屋所有权证书，且不按合同支付买房人延持办理房地产产权证补偿；</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(6)交付物业时，项目有甩项，或仍使用临时水电、或住宅区配套设施不具备交付使用条件；</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(7)未经房屋竣工验收或验收不合格，擅自将房屋交付使用；</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(8)在交付住宅物业时，拒不交付《住宅质量保证书》和《住宅使用说明书》；</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(9)未按规定及时缴存房屋专项维修资金；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(10)擅自挪用住房专项维修资金；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(11)未按规定承担房屋建筑工程质量保修责任；</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(12)商品房交付后，经工程质量监督单位复核属实的质量问题，不予妥善处理；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(13)交付物业时，项目标的物实际与原设计不符，或与销售时承诺项不符的；</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(14)房产地下车位只售不租的或变相只售不租（故意提高租赁价格的）行为，导致小区车辆管理难，影响小区公共秩序的；</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(15)为提高售房率进行虚假宣传或承诺业主后期部分违章搭建的处理；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(16)由于设计缺陷导致安全隐患，发现后拒不整改的。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企业前期</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物业信用</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w:t>
            </w:r>
            <w:r>
              <w:rPr>
                <w:rFonts w:cs="宋体" w:asciiTheme="minorEastAsia" w:hAnsiTheme="minorEastAsia"/>
                <w:b/>
                <w:kern w:val="0"/>
                <w:szCs w:val="21"/>
              </w:rPr>
              <w:t>7分）</w:t>
            </w:r>
          </w:p>
        </w:tc>
        <w:tc>
          <w:tcPr>
            <w:tcW w:w="1256" w:type="dxa"/>
            <w:vAlign w:val="center"/>
          </w:tcPr>
          <w:p>
            <w:pPr>
              <w:autoSpaceDE w:val="0"/>
              <w:autoSpaceDN w:val="0"/>
              <w:adjustRightInd w:val="0"/>
              <w:spacing w:line="300" w:lineRule="exact"/>
              <w:jc w:val="right"/>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7分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评价企业在前期物业管理中，是否按有关规定履行相应责任。</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企业近三年每项目在前期物业管理过程中，出现下列情况，每项扣</w:t>
            </w:r>
            <w:r>
              <w:rPr>
                <w:rFonts w:cs="Times New Roman" w:asciiTheme="minorEastAsia" w:hAnsiTheme="minorEastAsia"/>
                <w:b/>
                <w:kern w:val="0"/>
                <w:szCs w:val="21"/>
              </w:rPr>
              <w:t>0.5</w:t>
            </w:r>
            <w:r>
              <w:rPr>
                <w:rFonts w:hint="eastAsia" w:cs="宋体" w:asciiTheme="minorEastAsia" w:hAnsiTheme="minorEastAsia"/>
                <w:b/>
                <w:kern w:val="0"/>
                <w:szCs w:val="21"/>
              </w:rPr>
              <w:t>分，累计扣满</w:t>
            </w:r>
            <w:r>
              <w:rPr>
                <w:rFonts w:cs="Times New Roman" w:asciiTheme="minorEastAsia" w:hAnsiTheme="minorEastAsia"/>
                <w:b/>
                <w:kern w:val="0"/>
                <w:szCs w:val="21"/>
              </w:rPr>
              <w:t>7</w:t>
            </w:r>
            <w:r>
              <w:rPr>
                <w:rFonts w:hint="eastAsia" w:cs="宋体" w:asciiTheme="minorEastAsia" w:hAnsiTheme="minorEastAsia"/>
                <w:b/>
                <w:kern w:val="0"/>
                <w:szCs w:val="21"/>
              </w:rPr>
              <w:t>分，若发生下列</w:t>
            </w:r>
            <w:r>
              <w:rPr>
                <w:rFonts w:cs="Times New Roman" w:asciiTheme="minorEastAsia" w:hAnsiTheme="minorEastAsia"/>
                <w:b/>
                <w:kern w:val="0"/>
                <w:szCs w:val="21"/>
              </w:rPr>
              <w:t>3</w:t>
            </w:r>
            <w:r>
              <w:rPr>
                <w:rFonts w:hint="eastAsia" w:cs="宋体" w:asciiTheme="minorEastAsia" w:hAnsiTheme="minorEastAsia"/>
                <w:b/>
                <w:kern w:val="0"/>
                <w:szCs w:val="21"/>
              </w:rPr>
              <w:t>项行为，</w:t>
            </w:r>
            <w:r>
              <w:rPr>
                <w:rFonts w:cs="Times New Roman" w:asciiTheme="minorEastAsia" w:hAnsiTheme="minorEastAsia"/>
                <w:b/>
                <w:kern w:val="0"/>
                <w:szCs w:val="21"/>
              </w:rPr>
              <w:t>2.4</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(1</w:t>
            </w:r>
            <w:r>
              <w:rPr>
                <w:rFonts w:cs="宋体" w:asciiTheme="minorEastAsia" w:hAnsiTheme="minorEastAsia"/>
                <w:b/>
                <w:kern w:val="0"/>
                <w:szCs w:val="21"/>
              </w:rPr>
              <w:t>)未按规定在取得商品房销售许可证之前，选聘前期物业服务企业并签订前期物业服务合同；</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(2</w:t>
            </w:r>
            <w:r>
              <w:rPr>
                <w:rFonts w:cs="宋体" w:asciiTheme="minorEastAsia" w:hAnsiTheme="minorEastAsia"/>
                <w:b/>
                <w:kern w:val="0"/>
                <w:szCs w:val="21"/>
              </w:rPr>
              <w:t>)未按规定办理招标手续选聘前期物业服务企业；</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(3</w:t>
            </w:r>
            <w:r>
              <w:rPr>
                <w:rFonts w:cs="宋体" w:asciiTheme="minorEastAsia" w:hAnsiTheme="minorEastAsia"/>
                <w:b/>
                <w:kern w:val="0"/>
                <w:szCs w:val="21"/>
              </w:rPr>
              <w:t>)在与物业买受人签订的房屋买卖合同中未包含前期物业服务合同约定的主要内容；</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(4</w:t>
            </w:r>
            <w:r>
              <w:rPr>
                <w:rFonts w:cs="宋体" w:asciiTheme="minorEastAsia" w:hAnsiTheme="minorEastAsia"/>
                <w:b/>
                <w:kern w:val="0"/>
                <w:szCs w:val="21"/>
              </w:rPr>
              <w:t>)未按规定配置物业管理用房；</w:t>
            </w:r>
          </w:p>
          <w:p>
            <w:pPr>
              <w:autoSpaceDE w:val="0"/>
              <w:autoSpaceDN w:val="0"/>
              <w:adjustRightInd w:val="0"/>
              <w:spacing w:line="300" w:lineRule="exact"/>
              <w:ind w:right="-29" w:rightChars="-14"/>
              <w:rPr>
                <w:rFonts w:cs="宋体" w:asciiTheme="minorEastAsia" w:hAnsiTheme="minorEastAsia"/>
                <w:b/>
                <w:kern w:val="0"/>
                <w:szCs w:val="21"/>
              </w:rPr>
            </w:pPr>
            <w:r>
              <w:rPr>
                <w:rFonts w:cs="Times New Roman" w:asciiTheme="minorEastAsia" w:hAnsiTheme="minorEastAsia"/>
                <w:b/>
                <w:kern w:val="0"/>
                <w:szCs w:val="21"/>
              </w:rPr>
              <w:t>(5</w:t>
            </w:r>
            <w:r>
              <w:rPr>
                <w:rFonts w:cs="宋体" w:asciiTheme="minorEastAsia" w:hAnsiTheme="minorEastAsia"/>
                <w:b/>
                <w:kern w:val="0"/>
                <w:szCs w:val="21"/>
              </w:rPr>
              <w:t>)未按规定向主管部门或行业协会办理相关备案手续；</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(6</w:t>
            </w:r>
            <w:r>
              <w:rPr>
                <w:rFonts w:cs="宋体" w:asciiTheme="minorEastAsia" w:hAnsiTheme="minorEastAsia"/>
                <w:b/>
                <w:kern w:val="0"/>
                <w:szCs w:val="21"/>
              </w:rPr>
              <w:t>)未按规定与前期物业服务企业办理物业承接验收手续，并移交物业档案资料、物业管理用房，或承接查验未符合标准强行移交；</w:t>
            </w:r>
          </w:p>
          <w:p>
            <w:pPr>
              <w:autoSpaceDE w:val="0"/>
              <w:autoSpaceDN w:val="0"/>
              <w:adjustRightInd w:val="0"/>
              <w:spacing w:line="300" w:lineRule="exact"/>
              <w:rPr>
                <w:rFonts w:cs="Times New Roman" w:asciiTheme="minorEastAsia" w:hAnsiTheme="minorEastAsia"/>
                <w:b/>
                <w:kern w:val="0"/>
                <w:szCs w:val="21"/>
              </w:rPr>
            </w:pPr>
            <w:r>
              <w:rPr>
                <w:rFonts w:cs="Times New Roman" w:asciiTheme="minorEastAsia" w:hAnsiTheme="minorEastAsia"/>
                <w:b/>
                <w:kern w:val="0"/>
                <w:szCs w:val="21"/>
              </w:rPr>
              <w:t>(7</w:t>
            </w:r>
            <w:r>
              <w:rPr>
                <w:rFonts w:cs="宋体" w:asciiTheme="minorEastAsia" w:hAnsiTheme="minorEastAsia"/>
                <w:b/>
                <w:kern w:val="0"/>
                <w:szCs w:val="21"/>
              </w:rPr>
              <w:t>)对首次业主大会的筹建及召开未给予支持；</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(8)制</w:t>
            </w:r>
            <w:r>
              <w:rPr>
                <w:rFonts w:hint="eastAsia" w:cs="宋体" w:asciiTheme="minorEastAsia" w:hAnsiTheme="minorEastAsia"/>
                <w:b/>
                <w:kern w:val="0"/>
                <w:szCs w:val="21"/>
              </w:rPr>
              <w:t>定的业主临时公约侵害房屋买受人利益；</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(9)</w:t>
            </w:r>
            <w:r>
              <w:rPr>
                <w:rFonts w:hint="eastAsia" w:cs="Times New Roman" w:asciiTheme="minorEastAsia" w:hAnsiTheme="minorEastAsia"/>
                <w:b/>
                <w:kern w:val="0"/>
                <w:szCs w:val="21"/>
              </w:rPr>
              <w:t>未</w:t>
            </w:r>
            <w:r>
              <w:rPr>
                <w:rFonts w:hint="eastAsia" w:cs="宋体" w:asciiTheme="minorEastAsia" w:hAnsiTheme="minorEastAsia"/>
                <w:b/>
                <w:kern w:val="0"/>
                <w:szCs w:val="21"/>
              </w:rPr>
              <w:t>按前期物业服务合同约定的金额和时间缴纳已竣工但尚未出售或者尚未交付给买受人的物业服务费（含车位物业服务费）；</w:t>
            </w:r>
          </w:p>
          <w:p>
            <w:pPr>
              <w:autoSpaceDE w:val="0"/>
              <w:autoSpaceDN w:val="0"/>
              <w:adjustRightInd w:val="0"/>
              <w:spacing w:line="300" w:lineRule="exact"/>
              <w:jc w:val="left"/>
              <w:rPr>
                <w:rFonts w:cs="Times New Roman" w:asciiTheme="minorEastAsia" w:hAnsiTheme="minorEastAsia"/>
                <w:b/>
                <w:kern w:val="0"/>
                <w:szCs w:val="21"/>
              </w:rPr>
            </w:pPr>
            <w:r>
              <w:rPr>
                <w:rFonts w:cs="Times New Roman" w:asciiTheme="minorEastAsia" w:hAnsiTheme="minorEastAsia"/>
                <w:b/>
                <w:kern w:val="0"/>
                <w:szCs w:val="21"/>
              </w:rPr>
              <w:t>(10)</w:t>
            </w:r>
            <w:r>
              <w:rPr>
                <w:rFonts w:hint="eastAsia" w:cs="宋体" w:asciiTheme="minorEastAsia" w:hAnsiTheme="minorEastAsia"/>
                <w:b/>
                <w:kern w:val="0"/>
                <w:szCs w:val="21"/>
              </w:rPr>
              <w:t>擅自处分属于业主依法享有的物业共用部位、共用设施设备的所有权或者使用权。</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(11)</w:t>
            </w:r>
            <w:r>
              <w:rPr>
                <w:rFonts w:hint="eastAsia" w:cs="宋体" w:asciiTheme="minorEastAsia" w:hAnsiTheme="minorEastAsia"/>
                <w:b/>
                <w:kern w:val="0"/>
                <w:szCs w:val="21"/>
              </w:rPr>
              <w:t>未在已交付区域和施工未交付区域设置有效封闭隔离。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2"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3.</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企业社会</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信用情况</w:t>
            </w:r>
          </w:p>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25分</w:t>
            </w:r>
          </w:p>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企业公共</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信用信息</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w:t>
            </w:r>
            <w:r>
              <w:rPr>
                <w:rFonts w:cs="宋体" w:asciiTheme="minorEastAsia" w:hAnsiTheme="minorEastAsia"/>
                <w:b/>
                <w:kern w:val="0"/>
                <w:szCs w:val="21"/>
              </w:rPr>
              <w:t>10分）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3.1.1</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公共信用记录</w:t>
            </w:r>
          </w:p>
        </w:tc>
        <w:tc>
          <w:tcPr>
            <w:tcW w:w="1012" w:type="dxa"/>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kern w:val="0"/>
                <w:szCs w:val="21"/>
              </w:rPr>
              <w:t>8分</w:t>
            </w:r>
          </w:p>
        </w:tc>
        <w:tc>
          <w:tcPr>
            <w:tcW w:w="4061"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评价企业在金融机构、工商、税务、消协、住建、房管、国土、环保、质监、安监、消防、司法等相关部门信用记录情况。</w:t>
            </w:r>
          </w:p>
        </w:tc>
        <w:tc>
          <w:tcPr>
            <w:tcW w:w="6834"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企业近三年在各机构、监管部门存在不良记录，每项扣</w:t>
            </w:r>
            <w:r>
              <w:rPr>
                <w:rFonts w:cs="宋体" w:asciiTheme="minorEastAsia" w:hAnsiTheme="minorEastAsia"/>
                <w:b/>
                <w:kern w:val="0"/>
                <w:szCs w:val="21"/>
              </w:rPr>
              <w:t>0.5-1分，累计扣满8分。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纳税额</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通过评价企业纳税额，反映企业纳税贡献率</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近三年，被盟（市）、县（市、区）以上税务部门评为A级纳税企业，得2分。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合作方信用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6分）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6分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评价企业对合作方信用，包括股东、设计单位、供应商、施工承包方、勘察、监理及上下游合作企业等。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抽样调查企业主要合作方，包括设计单位、供应商、施工承包方、勘察、监理及上下游合作企业</w:t>
            </w:r>
            <w:r>
              <w:rPr>
                <w:rFonts w:cs="Times New Roman" w:asciiTheme="minorEastAsia" w:hAnsiTheme="minorEastAsia"/>
                <w:b/>
                <w:kern w:val="0"/>
                <w:szCs w:val="21"/>
              </w:rPr>
              <w:t>,</w:t>
            </w:r>
            <w:r>
              <w:rPr>
                <w:rFonts w:hint="eastAsia" w:cs="宋体" w:asciiTheme="minorEastAsia" w:hAnsiTheme="minorEastAsia"/>
                <w:b/>
                <w:kern w:val="0"/>
                <w:szCs w:val="21"/>
              </w:rPr>
              <w:t>无不良记录得</w:t>
            </w:r>
            <w:r>
              <w:rPr>
                <w:rFonts w:cs="宋体" w:asciiTheme="minorEastAsia" w:hAnsiTheme="minorEastAsia"/>
                <w:b/>
                <w:kern w:val="0"/>
                <w:szCs w:val="21"/>
              </w:rPr>
              <w:t>6分；每出现一项不良记录，根据情节严重程度扣</w:t>
            </w:r>
            <w:r>
              <w:rPr>
                <w:rFonts w:cs="Times New Roman" w:asciiTheme="minorEastAsia" w:hAnsiTheme="minorEastAsia"/>
                <w:b/>
                <w:kern w:val="0"/>
                <w:szCs w:val="21"/>
              </w:rPr>
              <w:t>0.5-1</w:t>
            </w:r>
            <w:r>
              <w:rPr>
                <w:rFonts w:hint="eastAsia" w:cs="宋体" w:asciiTheme="minorEastAsia" w:hAnsiTheme="minorEastAsia"/>
                <w:b/>
                <w:kern w:val="0"/>
                <w:szCs w:val="21"/>
              </w:rPr>
              <w:t>分；累计扣满</w:t>
            </w:r>
            <w:r>
              <w:rPr>
                <w:rFonts w:cs="Times New Roman" w:asciiTheme="minorEastAsia" w:hAnsiTheme="minorEastAsia"/>
                <w:b/>
                <w:kern w:val="0"/>
                <w:szCs w:val="21"/>
              </w:rPr>
              <w:t>6</w:t>
            </w:r>
            <w:r>
              <w:rPr>
                <w:rFonts w:hint="eastAsia" w:cs="宋体" w:asciiTheme="minorEastAsia" w:hAnsiTheme="minorEastAsia"/>
                <w:b/>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员工信用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4061"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评价企业是否为员工正常缴纳五险一金，是否按劳动合同法保障员工权益。</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企业近三年根据本企业劳动合同全员按时足额为员工缴纳五险一金得</w:t>
            </w:r>
            <w:r>
              <w:rPr>
                <w:rFonts w:hint="eastAsia" w:cs="Times New Roman" w:asciiTheme="minorEastAsia" w:hAnsiTheme="minorEastAsia"/>
                <w:b/>
                <w:kern w:val="0"/>
                <w:szCs w:val="21"/>
              </w:rPr>
              <w:t>2</w:t>
            </w:r>
            <w:r>
              <w:rPr>
                <w:rFonts w:hint="eastAsia" w:cs="宋体" w:asciiTheme="minorEastAsia" w:hAnsiTheme="minorEastAsia"/>
                <w:b/>
                <w:kern w:val="0"/>
                <w:szCs w:val="21"/>
              </w:rPr>
              <w:t>分；全员参保，非全员缴纳公积金，公积金缴纳人数超过总人数</w:t>
            </w:r>
            <w:r>
              <w:rPr>
                <w:rFonts w:hint="eastAsia" w:cs="Times New Roman" w:asciiTheme="minorEastAsia" w:hAnsiTheme="minorEastAsia"/>
                <w:b/>
                <w:kern w:val="0"/>
                <w:szCs w:val="21"/>
              </w:rPr>
              <w:t>50%（含50%），得1.5分；</w:t>
            </w:r>
            <w:r>
              <w:rPr>
                <w:rFonts w:hint="eastAsia" w:cs="宋体" w:asciiTheme="minorEastAsia" w:hAnsiTheme="minorEastAsia"/>
                <w:b/>
                <w:kern w:val="0"/>
                <w:szCs w:val="21"/>
              </w:rPr>
              <w:t>非全员参保、非全员缴纳公积金，缴纳人数超过总人数</w:t>
            </w:r>
            <w:r>
              <w:rPr>
                <w:rFonts w:hint="eastAsia" w:cs="Times New Roman" w:asciiTheme="minorEastAsia" w:hAnsiTheme="minorEastAsia"/>
                <w:b/>
                <w:kern w:val="0"/>
                <w:szCs w:val="21"/>
              </w:rPr>
              <w:t>50%（含50%）</w:t>
            </w:r>
            <w:r>
              <w:rPr>
                <w:rFonts w:hint="eastAsia" w:cs="宋体" w:asciiTheme="minorEastAsia" w:hAnsiTheme="minorEastAsia"/>
                <w:b/>
                <w:kern w:val="0"/>
                <w:szCs w:val="21"/>
              </w:rPr>
              <w:t>得</w:t>
            </w:r>
            <w:r>
              <w:rPr>
                <w:rFonts w:hint="eastAsia" w:cs="Times New Roman" w:asciiTheme="minorEastAsia" w:hAnsiTheme="minorEastAsia"/>
                <w:b/>
                <w:kern w:val="0"/>
                <w:szCs w:val="21"/>
              </w:rPr>
              <w:t>1</w:t>
            </w:r>
            <w:r>
              <w:rPr>
                <w:rFonts w:hint="eastAsia" w:cs="宋体" w:asciiTheme="minorEastAsia" w:hAnsiTheme="minorEastAsia"/>
                <w:b/>
                <w:kern w:val="0"/>
                <w:szCs w:val="21"/>
              </w:rPr>
              <w:t>分；缴纳人数</w:t>
            </w:r>
            <w:r>
              <w:rPr>
                <w:rFonts w:hint="eastAsia" w:cs="Times New Roman" w:asciiTheme="minorEastAsia" w:hAnsiTheme="minorEastAsia"/>
                <w:b/>
                <w:kern w:val="0"/>
                <w:szCs w:val="21"/>
              </w:rPr>
              <w:t>小于</w:t>
            </w:r>
            <w:r>
              <w:rPr>
                <w:rFonts w:hint="eastAsia" w:cs="宋体" w:asciiTheme="minorEastAsia" w:hAnsiTheme="minorEastAsia"/>
                <w:b/>
                <w:kern w:val="0"/>
                <w:szCs w:val="21"/>
              </w:rPr>
              <w:t>总人数</w:t>
            </w:r>
            <w:r>
              <w:rPr>
                <w:rFonts w:hint="eastAsia" w:cs="Times New Roman" w:asciiTheme="minorEastAsia" w:hAnsiTheme="minorEastAsia"/>
                <w:b/>
                <w:kern w:val="0"/>
                <w:szCs w:val="21"/>
              </w:rPr>
              <w:t>50%</w:t>
            </w:r>
            <w:r>
              <w:rPr>
                <w:rFonts w:hint="eastAsia" w:cs="宋体" w:asciiTheme="minorEastAsia" w:hAnsiTheme="minorEastAsia"/>
                <w:b/>
                <w:kern w:val="0"/>
                <w:szCs w:val="21"/>
              </w:rPr>
              <w:t>得</w:t>
            </w:r>
            <w:r>
              <w:rPr>
                <w:rFonts w:hint="eastAsia" w:cs="Times New Roman" w:asciiTheme="minorEastAsia" w:hAnsiTheme="minorEastAsia"/>
                <w:b/>
                <w:kern w:val="0"/>
                <w:szCs w:val="21"/>
              </w:rPr>
              <w:t>0.5</w:t>
            </w:r>
            <w:r>
              <w:rPr>
                <w:rFonts w:hint="eastAsia" w:cs="宋体" w:asciiTheme="minorEastAsia" w:hAnsiTheme="minorEastAsia"/>
                <w:b/>
                <w:kern w:val="0"/>
                <w:szCs w:val="21"/>
              </w:rPr>
              <w:t>分；不缴纳五险一金，或因劳动合同纠纷造成重大社会影响得0分。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公共信用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3.4.1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社会公益</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评价企业从事公益慈善事业的情况。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企业连续三年捐款救助证明、获得县级以行政部门表彰得</w:t>
            </w:r>
            <w:r>
              <w:rPr>
                <w:rFonts w:cs="宋体" w:asciiTheme="minorEastAsia" w:hAnsiTheme="minorEastAsia"/>
                <w:b/>
                <w:kern w:val="0"/>
                <w:szCs w:val="21"/>
              </w:rPr>
              <w:t>2分；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企业近三年捐款救助证明或获得县级以行政部门表彰得</w:t>
            </w:r>
            <w:r>
              <w:rPr>
                <w:rFonts w:cs="宋体" w:asciiTheme="minorEastAsia" w:hAnsiTheme="minorEastAsia"/>
                <w:b/>
                <w:kern w:val="0"/>
                <w:szCs w:val="21"/>
              </w:rPr>
              <w:t>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企业无捐助证明得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社会荣誉</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（5分）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企业荣誉</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企业及企业项目所获荣誉是社会对企业的一种肯定，可以从侧米反映企业的信用情况。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企业获得省、部级以上国家行政主管部门、全国性行业协会、自治区房地产业协会表彰、授牌得2分；获得地级市以上人民政府、行政主管部门表彰、授牌每项目得1分，总分3分。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项目荣誉</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企业项目获得广厦奖、鲁班奖、詹天佑奖、</w:t>
            </w:r>
            <w:r>
              <w:rPr>
                <w:rFonts w:hint="eastAsia" w:cs="宋体" w:asciiTheme="minorEastAsia" w:hAnsiTheme="minorEastAsia"/>
                <w:b/>
                <w:kern w:val="0"/>
                <w:szCs w:val="21"/>
                <w:lang w:eastAsia="zh-CN"/>
              </w:rPr>
              <w:t>草原杯</w:t>
            </w:r>
            <w:bookmarkStart w:id="0" w:name="_GoBack"/>
            <w:bookmarkEnd w:id="0"/>
            <w:r>
              <w:rPr>
                <w:rFonts w:hint="eastAsia" w:cs="宋体" w:asciiTheme="minorEastAsia" w:hAnsiTheme="minorEastAsia"/>
                <w:b/>
                <w:kern w:val="0"/>
                <w:szCs w:val="21"/>
              </w:rPr>
              <w:t>等省、部级以上国家行政主管部门或全国性行业协会的表彰，每项得1分；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获得地级市以上人民政府、主管部门表彰，每项得1分，总分2分。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二级指标</w:t>
            </w:r>
          </w:p>
        </w:tc>
        <w:tc>
          <w:tcPr>
            <w:tcW w:w="1256" w:type="dxa"/>
            <w:vAlign w:val="center"/>
          </w:tcPr>
          <w:p>
            <w:pPr>
              <w:widowControl/>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三级指标</w:t>
            </w: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分值</w:t>
            </w:r>
          </w:p>
        </w:tc>
        <w:tc>
          <w:tcPr>
            <w:tcW w:w="406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加分项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5</w:t>
            </w:r>
            <w:r>
              <w:rPr>
                <w:rFonts w:cs="宋体" w:asciiTheme="minorEastAsia" w:hAnsiTheme="minorEastAsia"/>
                <w:b/>
                <w:kern w:val="0"/>
                <w:szCs w:val="21"/>
              </w:rPr>
              <w:t>分</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信用承诺</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widowControl/>
              <w:spacing w:line="300" w:lineRule="exact"/>
              <w:jc w:val="left"/>
              <w:rPr>
                <w:rFonts w:cs="宋体" w:asciiTheme="minorEastAsia" w:hAnsiTheme="minorEastAsia"/>
                <w:b/>
                <w:kern w:val="0"/>
                <w:szCs w:val="21"/>
              </w:rPr>
            </w:pPr>
          </w:p>
          <w:p>
            <w:pPr>
              <w:widowControl/>
              <w:spacing w:line="300" w:lineRule="exact"/>
              <w:jc w:val="left"/>
              <w:rPr>
                <w:rFonts w:cs="宋体" w:asciiTheme="minorEastAsia" w:hAnsiTheme="minorEastAsia"/>
                <w:b/>
                <w:kern w:val="0"/>
                <w:szCs w:val="21"/>
              </w:rPr>
            </w:pPr>
          </w:p>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评价企业向社会公开承诺情况。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企业向社会公开作出信用承诺得</w:t>
            </w:r>
            <w:r>
              <w:rPr>
                <w:rFonts w:cs="宋体" w:asciiTheme="minorEastAsia" w:hAnsiTheme="minorEastAsia"/>
                <w:b/>
                <w:kern w:val="0"/>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自律表现</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评价企业在行业协会的相关信息及参加行业协会活动的信息。</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企业是自治区房地产业协会会员单位，按时交纳会费、积极参加协会活动，无不良记录，得2</w:t>
            </w:r>
            <w:r>
              <w:rPr>
                <w:rFonts w:cs="宋体" w:asciiTheme="minorEastAsia" w:hAnsiTheme="minorEastAsia"/>
                <w:b/>
                <w:kern w:val="0"/>
                <w:szCs w:val="21"/>
              </w:rPr>
              <w:t>分；</w:t>
            </w:r>
            <w:r>
              <w:rPr>
                <w:rFonts w:hint="eastAsia" w:cs="宋体" w:asciiTheme="minorEastAsia" w:hAnsiTheme="minorEastAsia"/>
                <w:b/>
                <w:kern w:val="0"/>
                <w:szCs w:val="21"/>
              </w:rPr>
              <w:t>非会员单位得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参与全装修</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装配式建筑建设</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widowControl/>
              <w:spacing w:line="300" w:lineRule="exact"/>
              <w:jc w:val="center"/>
              <w:rPr>
                <w:rFonts w:cs="宋体" w:asciiTheme="minorEastAsia" w:hAnsiTheme="minorEastAsia"/>
                <w:b/>
                <w:kern w:val="0"/>
                <w:szCs w:val="21"/>
              </w:rPr>
            </w:pPr>
          </w:p>
          <w:p>
            <w:pPr>
              <w:autoSpaceDE w:val="0"/>
              <w:autoSpaceDN w:val="0"/>
              <w:adjustRightInd w:val="0"/>
              <w:spacing w:line="300" w:lineRule="exact"/>
              <w:ind w:left="407"/>
              <w:jc w:val="center"/>
              <w:rPr>
                <w:rFonts w:cs="宋体" w:asciiTheme="minorEastAsia" w:hAnsiTheme="minorEastAsia"/>
                <w:b/>
                <w:kern w:val="0"/>
                <w:szCs w:val="21"/>
              </w:rPr>
            </w:pPr>
          </w:p>
          <w:p>
            <w:pPr>
              <w:autoSpaceDE w:val="0"/>
              <w:autoSpaceDN w:val="0"/>
              <w:adjustRightInd w:val="0"/>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评价企业对全装修、装配式建筑建设的参与情况。</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企业近三年参与全装修、装配式建筑建设得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企业通过间接投资、参股等方式参与装配式建筑建设得</w:t>
            </w:r>
            <w:r>
              <w:rPr>
                <w:rFonts w:cs="宋体" w:asciiTheme="minorEastAsia" w:hAnsiTheme="minorEastAsia"/>
                <w:b/>
                <w:kern w:val="0"/>
                <w:szCs w:val="21"/>
              </w:rPr>
              <w:t>0.8分；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参与过保障房、装配式建筑建设投标但未中标得</w:t>
            </w:r>
            <w:r>
              <w:rPr>
                <w:rFonts w:cs="宋体" w:asciiTheme="minorEastAsia" w:hAnsiTheme="minorEastAsia"/>
                <w:b/>
                <w:kern w:val="0"/>
                <w:szCs w:val="21"/>
              </w:rPr>
              <w:t>0.5分；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未以任何形式参与过保障房、装配式建筑建设得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4.4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绿色建筑</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与环保节能</w:t>
            </w:r>
          </w:p>
        </w:tc>
        <w:tc>
          <w:tcPr>
            <w:tcW w:w="1256" w:type="dxa"/>
            <w:vAlign w:val="center"/>
          </w:tcPr>
          <w:p>
            <w:pPr>
              <w:widowControl/>
              <w:spacing w:line="300" w:lineRule="exact"/>
              <w:jc w:val="center"/>
              <w:rPr>
                <w:rFonts w:cs="宋体" w:asciiTheme="minorEastAsia" w:hAnsiTheme="minorEastAsia"/>
                <w:b/>
                <w:kern w:val="0"/>
                <w:szCs w:val="21"/>
              </w:rPr>
            </w:pPr>
          </w:p>
        </w:tc>
        <w:tc>
          <w:tcPr>
            <w:tcW w:w="1012"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1分</w:t>
            </w:r>
          </w:p>
        </w:tc>
        <w:tc>
          <w:tcPr>
            <w:tcW w:w="406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评价企业在绿色建筑与环保节能方面的情况，包括绿色节能材料的应用，施工过程中节能、节水、减排措施的应用等。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当地政府有要求且已应用了绿色建筑与环保节能措施的企业或在设计施工中获得省、部级以上国家行政主管部门认定的绿色节能建筑证书，得1分；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获得地级市行政主管部门认定或批准的绿色节能建筑证书，得0.5分；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未获得行政主管部门认定或批准的绿色节能建筑证书，得0分。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3713"/>
    <w:rsid w:val="00007C93"/>
    <w:rsid w:val="000B4975"/>
    <w:rsid w:val="003C0EEF"/>
    <w:rsid w:val="00514EF2"/>
    <w:rsid w:val="005A0547"/>
    <w:rsid w:val="00614140"/>
    <w:rsid w:val="00681F8B"/>
    <w:rsid w:val="007839FA"/>
    <w:rsid w:val="00823D87"/>
    <w:rsid w:val="00834615"/>
    <w:rsid w:val="00903E4E"/>
    <w:rsid w:val="00921534"/>
    <w:rsid w:val="00A52729"/>
    <w:rsid w:val="00A75E12"/>
    <w:rsid w:val="00AC19C0"/>
    <w:rsid w:val="00B1015C"/>
    <w:rsid w:val="00BB5829"/>
    <w:rsid w:val="00C062BA"/>
    <w:rsid w:val="00C47E9A"/>
    <w:rsid w:val="00C63713"/>
    <w:rsid w:val="00D107E6"/>
    <w:rsid w:val="00E51012"/>
    <w:rsid w:val="00E814A1"/>
    <w:rsid w:val="00FD2DF9"/>
    <w:rsid w:val="49D16576"/>
    <w:rsid w:val="7445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semiHidden/>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批注文字 Char"/>
    <w:basedOn w:val="6"/>
    <w:link w:val="2"/>
    <w:semiHidden/>
    <w:uiPriority w:val="99"/>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1021</Words>
  <Characters>5822</Characters>
  <Lines>48</Lines>
  <Paragraphs>13</Paragraphs>
  <TotalTime>67</TotalTime>
  <ScaleCrop>false</ScaleCrop>
  <LinksUpToDate>false</LinksUpToDate>
  <CharactersWithSpaces>6830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2020-11-17T02:32:00Z</dcterms:created>
  <dc:creator>GZ</dc:creator>
  <cp:lastModifiedBy>GZ</cp:lastModifiedBy>
  <dcterms:modified xsi:type="dcterms:W3CDTF">2021-05-17T01:59:57Z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